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保障性住房领域基层政务公开标准目录</w:t>
      </w:r>
      <w:bookmarkEnd w:id="0"/>
    </w:p>
    <w:tbl>
      <w:tblPr>
        <w:tblStyle w:val="5"/>
        <w:tblW w:w="16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015"/>
        <w:gridCol w:w="979"/>
        <w:gridCol w:w="1800"/>
        <w:gridCol w:w="4166"/>
        <w:gridCol w:w="1134"/>
        <w:gridCol w:w="1560"/>
        <w:gridCol w:w="1559"/>
        <w:gridCol w:w="567"/>
        <w:gridCol w:w="567"/>
        <w:gridCol w:w="567"/>
        <w:gridCol w:w="70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Merge w:val="restart"/>
            <w:shd w:val="clear" w:color="auto" w:fill="auto"/>
            <w:vAlign w:val="center"/>
          </w:tcPr>
          <w:p>
            <w:pPr>
              <w:widowControl/>
              <w:spacing w:line="240" w:lineRule="exact"/>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166"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34"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560"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59" w:type="dxa"/>
            <w:vMerge w:val="restart"/>
            <w:shd w:val="clear" w:color="auto" w:fill="auto"/>
            <w:vAlign w:val="center"/>
          </w:tcPr>
          <w:p>
            <w:pPr>
              <w:widowControl/>
              <w:spacing w:line="240" w:lineRule="exac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34"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4"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Merge w:val="continue"/>
            <w:vAlign w:val="center"/>
          </w:tcPr>
          <w:p>
            <w:pPr>
              <w:widowControl/>
              <w:spacing w:line="240" w:lineRule="exact"/>
              <w:jc w:val="left"/>
              <w:rPr>
                <w:rFonts w:ascii="Times New Roman" w:hAnsi="Times New Roman"/>
                <w:color w:val="000000"/>
                <w:kern w:val="0"/>
                <w:sz w:val="22"/>
              </w:rPr>
            </w:pPr>
          </w:p>
        </w:tc>
        <w:tc>
          <w:tcPr>
            <w:tcW w:w="1015"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79"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spacing w:line="240" w:lineRule="exact"/>
              <w:jc w:val="left"/>
              <w:rPr>
                <w:rFonts w:ascii="黑体" w:hAnsi="宋体" w:eastAsia="黑体" w:cs="宋体"/>
                <w:color w:val="000000"/>
                <w:kern w:val="0"/>
                <w:sz w:val="22"/>
              </w:rPr>
            </w:pPr>
          </w:p>
        </w:tc>
        <w:tc>
          <w:tcPr>
            <w:tcW w:w="4166" w:type="dxa"/>
            <w:vMerge w:val="continue"/>
            <w:vAlign w:val="center"/>
          </w:tcPr>
          <w:p>
            <w:pPr>
              <w:widowControl/>
              <w:spacing w:line="240" w:lineRule="exact"/>
              <w:jc w:val="left"/>
              <w:rPr>
                <w:rFonts w:ascii="黑体" w:hAnsi="宋体" w:eastAsia="黑体" w:cs="宋体"/>
                <w:color w:val="000000"/>
                <w:kern w:val="0"/>
                <w:sz w:val="22"/>
              </w:rPr>
            </w:pPr>
          </w:p>
        </w:tc>
        <w:tc>
          <w:tcPr>
            <w:tcW w:w="1134" w:type="dxa"/>
            <w:vMerge w:val="continue"/>
            <w:vAlign w:val="center"/>
          </w:tcPr>
          <w:p>
            <w:pPr>
              <w:widowControl/>
              <w:spacing w:line="240" w:lineRule="exact"/>
              <w:jc w:val="left"/>
              <w:rPr>
                <w:rFonts w:ascii="黑体" w:hAnsi="宋体" w:eastAsia="黑体" w:cs="宋体"/>
                <w:color w:val="000000"/>
                <w:kern w:val="0"/>
                <w:sz w:val="22"/>
              </w:rPr>
            </w:pPr>
          </w:p>
        </w:tc>
        <w:tc>
          <w:tcPr>
            <w:tcW w:w="1560" w:type="dxa"/>
            <w:vMerge w:val="continue"/>
            <w:vAlign w:val="center"/>
          </w:tcPr>
          <w:p>
            <w:pPr>
              <w:widowControl/>
              <w:spacing w:line="240" w:lineRule="exact"/>
              <w:jc w:val="left"/>
              <w:rPr>
                <w:rFonts w:ascii="黑体" w:hAnsi="宋体" w:eastAsia="黑体" w:cs="宋体"/>
                <w:color w:val="000000"/>
                <w:kern w:val="0"/>
                <w:sz w:val="22"/>
              </w:rPr>
            </w:pPr>
          </w:p>
        </w:tc>
        <w:tc>
          <w:tcPr>
            <w:tcW w:w="1559" w:type="dxa"/>
            <w:vMerge w:val="continue"/>
            <w:vAlign w:val="center"/>
          </w:tcPr>
          <w:p>
            <w:pPr>
              <w:widowControl/>
              <w:spacing w:line="240" w:lineRule="exact"/>
              <w:jc w:val="center"/>
              <w:rPr>
                <w:rFonts w:ascii="黑体" w:hAnsi="宋体" w:eastAsia="黑体" w:cs="宋体"/>
                <w:kern w:val="0"/>
                <w:sz w:val="22"/>
              </w:rPr>
            </w:pPr>
          </w:p>
        </w:tc>
        <w:tc>
          <w:tcPr>
            <w:tcW w:w="567"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67"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7"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67"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7"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文件名称、文号、发布部门、发布日期、实施日期、正文</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国务院办公厅关于印发2018年政务公开工作要点的通知》、《公共租赁住房资产管理暂行办法》、《住房和城乡建设部 国家发展改革委 财政部 自然资源部关于进一步规范发展公租房的意见》</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lang w:eastAsia="zh-CN"/>
              </w:rPr>
              <w:t>区</w:t>
            </w:r>
            <w:r>
              <w:rPr>
                <w:rFonts w:hint="eastAsia" w:ascii="仿宋_GB2312" w:hAnsi="宋体" w:eastAsia="仿宋_GB2312"/>
                <w:color w:val="000000"/>
                <w:sz w:val="18"/>
                <w:szCs w:val="18"/>
              </w:rPr>
              <w:t>人民政府</w:t>
            </w:r>
          </w:p>
          <w:p>
            <w:pPr>
              <w:spacing w:line="240" w:lineRule="exact"/>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2"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文件名称、文号、发布部门、发布日期、实施日期、正文</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2"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r>
              <w:rPr>
                <w:rFonts w:hint="eastAsia" w:ascii="仿宋_GB2312" w:hAnsi="仿宋_GB2312" w:eastAsia="仿宋_GB2312" w:cs="仿宋_GB2312"/>
                <w:color w:val="000000"/>
                <w:sz w:val="18"/>
                <w:szCs w:val="18"/>
              </w:rPr>
              <w:t>调查研究、决策草案、</w:t>
            </w:r>
            <w:r>
              <w:rPr>
                <w:rFonts w:hint="eastAsia" w:ascii="仿宋_GB2312" w:hAnsi="宋体" w:eastAsia="仿宋_GB2312"/>
                <w:color w:val="000000"/>
                <w:sz w:val="18"/>
                <w:szCs w:val="18"/>
              </w:rPr>
              <w:t>意见征集</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6"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会议名称；会议时间地点；会议结果。</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8"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仿宋_GB2312" w:eastAsia="仿宋_GB2312" w:cs="仿宋_GB2312"/>
                <w:color w:val="000000"/>
                <w:sz w:val="18"/>
                <w:szCs w:val="18"/>
              </w:rPr>
              <w:t>决策草案意见收集和</w:t>
            </w:r>
            <w:r>
              <w:rPr>
                <w:rFonts w:hint="eastAsia" w:ascii="仿宋_GB2312" w:hAnsi="宋体" w:eastAsia="仿宋_GB2312"/>
                <w:color w:val="000000"/>
                <w:sz w:val="18"/>
                <w:szCs w:val="18"/>
              </w:rPr>
              <w:t>采纳情况</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仿宋_GB2312" w:eastAsia="仿宋_GB2312" w:cs="仿宋_GB2312"/>
                <w:color w:val="000000"/>
                <w:sz w:val="18"/>
                <w:szCs w:val="18"/>
              </w:rPr>
              <w:t>住房保障规划</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6"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年度计划项目：项目名称、建设地点、总建筑面积、住宅面积、计划开工时间、计划竣工时间。</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申请受理公告、申请条件程序期限和所需材料、租赁补贴发放计划。</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政务公开工作要点的通知》</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申请受理</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审核结果：申请对象  姓名、身份证号(隐藏  部分号码)、申请房源  类型、</w:t>
            </w:r>
            <w:r>
              <w:rPr>
                <w:rFonts w:hint="eastAsia" w:ascii="仿宋_GB2312" w:hAnsi="仿宋_GB2312" w:eastAsia="仿宋_GB2312" w:cs="仿宋_GB2312"/>
                <w:color w:val="000000"/>
                <w:sz w:val="18"/>
                <w:szCs w:val="18"/>
              </w:rPr>
              <w:t>是否审核通过、审核未通过原因等</w:t>
            </w:r>
            <w:r>
              <w:rPr>
                <w:rFonts w:hint="eastAsia" w:ascii="仿宋_GB2312" w:hAnsi="宋体" w:eastAsia="仿宋_GB2312"/>
                <w:color w:val="000000"/>
                <w:sz w:val="18"/>
                <w:szCs w:val="18"/>
              </w:rPr>
              <w:t>；</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6"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spacing w:line="240" w:lineRule="exact"/>
              <w:rPr>
                <w:rFonts w:ascii="仿宋_GB2312" w:hAnsi="宋体" w:eastAsia="仿宋_GB2312"/>
                <w:color w:val="000000"/>
                <w:sz w:val="18"/>
                <w:szCs w:val="18"/>
              </w:rPr>
            </w:pP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4"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spacing w:line="240" w:lineRule="exact"/>
              <w:rPr>
                <w:rFonts w:ascii="仿宋_GB2312" w:hAnsi="宋体" w:eastAsia="仿宋_GB2312"/>
                <w:color w:val="000000"/>
                <w:sz w:val="18"/>
                <w:szCs w:val="18"/>
              </w:rPr>
            </w:pP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1"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仿宋_GB2312" w:eastAsia="仿宋_GB2312" w:cs="仿宋_GB2312"/>
                <w:color w:val="000000"/>
                <w:sz w:val="18"/>
                <w:szCs w:val="18"/>
              </w:rPr>
              <w:t>分配批次、</w:t>
            </w:r>
            <w:r>
              <w:rPr>
                <w:rFonts w:hint="eastAsia" w:ascii="仿宋_GB2312" w:hAnsi="宋体" w:eastAsia="仿宋_GB2312"/>
                <w:color w:val="000000"/>
                <w:sz w:val="18"/>
                <w:szCs w:val="18"/>
              </w:rPr>
              <w:t>项目名称、保障性住房类型、竣工日期、地址、住房套数</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待分配套数、已分配套数、套型、面积、配租配售价格、分配日期等。</w:t>
            </w:r>
          </w:p>
        </w:tc>
        <w:tc>
          <w:tcPr>
            <w:tcW w:w="416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2"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1015"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416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w:t>
            </w:r>
            <w:r>
              <w:rPr>
                <w:rFonts w:hint="eastAsia" w:ascii="微软雅黑" w:hAnsi="微软雅黑" w:eastAsia="微软雅黑" w:cs="微软雅黑"/>
                <w:color w:val="000000"/>
                <w:sz w:val="18"/>
                <w:szCs w:val="18"/>
              </w:rPr>
              <w:t>﹝</w:t>
            </w:r>
            <w:r>
              <w:rPr>
                <w:rFonts w:hint="eastAsia" w:ascii="仿宋_GB2312" w:hAnsi="仿宋_GB2312" w:eastAsia="仿宋_GB2312" w:cs="仿宋_GB2312"/>
                <w:color w:val="000000"/>
                <w:sz w:val="18"/>
                <w:szCs w:val="18"/>
              </w:rPr>
              <w:t>隐</w:t>
            </w:r>
            <w:r>
              <w:rPr>
                <w:rFonts w:hint="eastAsia" w:ascii="仿宋_GB2312" w:hAnsi="宋体" w:eastAsia="仿宋_GB2312"/>
                <w:color w:val="000000"/>
                <w:sz w:val="18"/>
                <w:szCs w:val="18"/>
              </w:rPr>
              <w:t xml:space="preserve">   藏部分号码</w:t>
            </w:r>
            <w:r>
              <w:rPr>
                <w:rFonts w:hint="eastAsia" w:ascii="微软雅黑" w:hAnsi="微软雅黑" w:eastAsia="微软雅黑" w:cs="微软雅黑"/>
                <w:color w:val="000000"/>
                <w:sz w:val="18"/>
                <w:szCs w:val="18"/>
              </w:rPr>
              <w:t>﹞、</w:t>
            </w:r>
            <w:r>
              <w:rPr>
                <w:rFonts w:hint="eastAsia" w:ascii="仿宋_GB2312" w:hAnsi="宋体" w:eastAsia="仿宋_GB2312"/>
                <w:color w:val="000000"/>
                <w:sz w:val="18"/>
                <w:szCs w:val="18"/>
              </w:rPr>
              <w:t>配租房源、套型、面积、是否审核通过、未通过原因</w:t>
            </w:r>
            <w:r>
              <w:rPr>
                <w:rFonts w:hint="eastAsia" w:ascii="仿宋_GB2312" w:hAnsi="仿宋_GB2312" w:eastAsia="仿宋_GB2312" w:cs="仿宋_GB2312"/>
                <w:color w:val="000000"/>
                <w:sz w:val="18"/>
                <w:szCs w:val="18"/>
              </w:rPr>
              <w:t>等。</w:t>
            </w:r>
          </w:p>
        </w:tc>
        <w:tc>
          <w:tcPr>
            <w:tcW w:w="416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《公共租赁住房管理办法》、《国务院办公厅关于推进公共资源配置领域政府信息公开的意见》、《国务院办公厅关于印发2018年政务公开工作要点的通知》</w:t>
            </w: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原租购项目名称地址类型套型面积等、原享受补贴面积面积、标准等。</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spacing w:line="240" w:lineRule="exact"/>
              <w:rPr>
                <w:rFonts w:ascii="仿宋_GB2312" w:hAnsi="宋体" w:eastAsia="仿宋_GB2312"/>
                <w:color w:val="000000"/>
                <w:sz w:val="18"/>
                <w:szCs w:val="18"/>
              </w:rPr>
            </w:pP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spacing w:line="240" w:lineRule="exact"/>
              <w:rPr>
                <w:rFonts w:ascii="仿宋_GB2312" w:hAnsi="宋体" w:eastAsia="仿宋_GB2312"/>
                <w:color w:val="000000"/>
                <w:sz w:val="18"/>
                <w:szCs w:val="18"/>
              </w:rPr>
            </w:pP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spacing w:line="240" w:lineRule="exact"/>
              <w:rPr>
                <w:rFonts w:ascii="仿宋_GB2312" w:hAnsi="宋体" w:eastAsia="仿宋_GB2312"/>
                <w:color w:val="000000"/>
                <w:sz w:val="18"/>
                <w:szCs w:val="18"/>
              </w:rPr>
            </w:pP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腾退对象、</w:t>
            </w:r>
            <w:r>
              <w:rPr>
                <w:rFonts w:hint="eastAsia" w:ascii="仿宋_GB2312" w:hAnsi="仿宋_GB2312" w:eastAsia="仿宋_GB2312" w:cs="仿宋_GB2312"/>
                <w:color w:val="000000"/>
                <w:sz w:val="18"/>
                <w:szCs w:val="18"/>
              </w:rPr>
              <w:t>房屋编号、</w:t>
            </w:r>
            <w:r>
              <w:rPr>
                <w:rFonts w:hint="eastAsia" w:ascii="仿宋_GB2312" w:hAnsi="宋体" w:eastAsia="仿宋_GB2312"/>
                <w:color w:val="000000"/>
                <w:sz w:val="18"/>
                <w:szCs w:val="18"/>
              </w:rPr>
              <w:t>腾退日期、腾退原因、实退租金。</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2"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7" w:hRule="atLeas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1015" w:type="dxa"/>
            <w:vMerge w:val="restart"/>
            <w:shd w:val="clear" w:color="auto" w:fill="auto"/>
            <w:vAlign w:val="center"/>
          </w:tcPr>
          <w:p>
            <w:pPr>
              <w:spacing w:line="240" w:lineRule="exact"/>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 构、受理地点、咨询电话监督电话等。</w:t>
            </w:r>
          </w:p>
        </w:tc>
        <w:tc>
          <w:tcPr>
            <w:tcW w:w="416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咨询电话监督电话等。</w:t>
            </w:r>
          </w:p>
        </w:tc>
        <w:tc>
          <w:tcPr>
            <w:tcW w:w="416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spacing w:line="240" w:lineRule="exact"/>
              <w:jc w:val="left"/>
              <w:rPr>
                <w:rFonts w:ascii="仿宋_GB2312" w:hAnsi="宋体" w:eastAsia="仿宋_GB2312"/>
                <w:color w:val="000000"/>
                <w:sz w:val="18"/>
                <w:szCs w:val="18"/>
              </w:rPr>
            </w:pPr>
            <w:bookmarkStart w:id="1" w:name="_GoBack"/>
            <w:bookmarkEnd w:id="1"/>
          </w:p>
          <w:p>
            <w:pPr>
              <w:spacing w:line="240" w:lineRule="exact"/>
              <w:jc w:val="left"/>
              <w:rPr>
                <w:rFonts w:ascii="仿宋_GB2312" w:hAnsi="宋体" w:eastAsia="仿宋_GB2312"/>
                <w:color w:val="000000"/>
                <w:sz w:val="18"/>
                <w:szCs w:val="18"/>
              </w:rPr>
            </w:pP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spacing w:line="240" w:lineRule="exact"/>
              <w:jc w:val="left"/>
              <w:rPr>
                <w:rFonts w:ascii="仿宋_GB2312" w:hAnsi="宋体" w:eastAsia="仿宋_GB2312"/>
                <w:color w:val="000000"/>
                <w:sz w:val="18"/>
                <w:szCs w:val="18"/>
              </w:rPr>
            </w:pPr>
          </w:p>
          <w:p>
            <w:pPr>
              <w:spacing w:line="240" w:lineRule="exact"/>
              <w:jc w:val="left"/>
              <w:rPr>
                <w:rFonts w:ascii="仿宋_GB2312" w:hAnsi="宋体" w:eastAsia="仿宋_GB2312"/>
                <w:color w:val="000000"/>
                <w:sz w:val="18"/>
                <w:szCs w:val="18"/>
              </w:rPr>
            </w:pP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1015"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416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13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spacing w:line="240" w:lineRule="exact"/>
              <w:jc w:val="left"/>
              <w:rPr>
                <w:rFonts w:ascii="仿宋_GB2312" w:hAnsi="宋体" w:eastAsia="仿宋_GB2312"/>
                <w:color w:val="000000"/>
                <w:sz w:val="18"/>
                <w:szCs w:val="18"/>
              </w:rPr>
            </w:pPr>
          </w:p>
          <w:p>
            <w:pPr>
              <w:spacing w:line="240" w:lineRule="exact"/>
              <w:jc w:val="left"/>
              <w:rPr>
                <w:rFonts w:ascii="仿宋_GB2312" w:hAnsi="宋体" w:eastAsia="仿宋_GB2312"/>
                <w:color w:val="000000"/>
                <w:sz w:val="18"/>
                <w:szCs w:val="18"/>
              </w:rPr>
            </w:pP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spacing w:line="240" w:lineRule="exact"/>
              <w:jc w:val="left"/>
              <w:rPr>
                <w:rFonts w:ascii="仿宋_GB2312" w:hAnsi="宋体" w:eastAsia="仿宋_GB2312"/>
                <w:color w:val="000000"/>
                <w:sz w:val="18"/>
                <w:szCs w:val="18"/>
              </w:rPr>
            </w:pPr>
          </w:p>
          <w:p>
            <w:pPr>
              <w:spacing w:line="240" w:lineRule="exact"/>
              <w:jc w:val="left"/>
              <w:rPr>
                <w:rFonts w:ascii="仿宋_GB2312" w:hAnsi="宋体" w:eastAsia="仿宋_GB2312"/>
                <w:color w:val="000000"/>
                <w:sz w:val="18"/>
                <w:szCs w:val="18"/>
              </w:rPr>
            </w:pP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101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979"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101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4166"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《关于全面推进政务公开工作的意见》、《国务院办公厅关于推进公共资源配置领域政府信息公开的意见》、《国务院办公厅关于印发2018年政务公开工作要点的通知》</w:t>
            </w:r>
          </w:p>
        </w:tc>
        <w:tc>
          <w:tcPr>
            <w:tcW w:w="1134"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560" w:type="dxa"/>
            <w:vMerge w:val="restart"/>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住房和城乡建设局</w:t>
            </w:r>
          </w:p>
        </w:tc>
        <w:tc>
          <w:tcPr>
            <w:tcW w:w="1559"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40" w:type="dxa"/>
            <w:vAlign w:val="center"/>
          </w:tcPr>
          <w:p>
            <w:pPr>
              <w:spacing w:line="240" w:lineRule="exact"/>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1015" w:type="dxa"/>
            <w:vMerge w:val="continue"/>
            <w:shd w:val="clear" w:color="auto" w:fill="auto"/>
            <w:vAlign w:val="center"/>
          </w:tcPr>
          <w:p>
            <w:pPr>
              <w:spacing w:line="240" w:lineRule="exact"/>
              <w:rPr>
                <w:rFonts w:ascii="仿宋_GB2312" w:hAnsi="宋体" w:eastAsia="仿宋_GB2312"/>
                <w:color w:val="000000"/>
                <w:sz w:val="18"/>
                <w:szCs w:val="18"/>
              </w:rPr>
            </w:pPr>
          </w:p>
        </w:tc>
        <w:tc>
          <w:tcPr>
            <w:tcW w:w="979"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4166" w:type="dxa"/>
            <w:vMerge w:val="continue"/>
            <w:vAlign w:val="center"/>
          </w:tcPr>
          <w:p>
            <w:pPr>
              <w:spacing w:line="240" w:lineRule="exact"/>
              <w:rPr>
                <w:rFonts w:ascii="仿宋_GB2312" w:hAnsi="宋体" w:eastAsia="仿宋_GB2312"/>
                <w:color w:val="000000"/>
                <w:sz w:val="18"/>
                <w:szCs w:val="18"/>
              </w:rPr>
            </w:pPr>
          </w:p>
        </w:tc>
        <w:tc>
          <w:tcPr>
            <w:tcW w:w="1134" w:type="dxa"/>
            <w:vMerge w:val="continue"/>
            <w:vAlign w:val="center"/>
          </w:tcPr>
          <w:p>
            <w:pPr>
              <w:spacing w:line="240" w:lineRule="exact"/>
              <w:rPr>
                <w:rFonts w:ascii="仿宋_GB2312" w:hAnsi="宋体" w:eastAsia="仿宋_GB2312"/>
                <w:color w:val="000000"/>
                <w:sz w:val="18"/>
                <w:szCs w:val="18"/>
              </w:rPr>
            </w:pPr>
          </w:p>
        </w:tc>
        <w:tc>
          <w:tcPr>
            <w:tcW w:w="1560" w:type="dxa"/>
            <w:vMerge w:val="continue"/>
            <w:vAlign w:val="center"/>
          </w:tcPr>
          <w:p>
            <w:pPr>
              <w:spacing w:line="240" w:lineRule="exact"/>
              <w:rPr>
                <w:rFonts w:ascii="仿宋_GB2312" w:hAnsi="宋体" w:eastAsia="仿宋_GB2312"/>
                <w:color w:val="000000"/>
                <w:sz w:val="18"/>
                <w:szCs w:val="18"/>
              </w:rPr>
            </w:pPr>
          </w:p>
        </w:tc>
        <w:tc>
          <w:tcPr>
            <w:tcW w:w="1559" w:type="dxa"/>
            <w:vMerge w:val="continue"/>
            <w:vAlign w:val="center"/>
          </w:tcPr>
          <w:p>
            <w:pPr>
              <w:spacing w:line="240" w:lineRule="exact"/>
              <w:jc w:val="lef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709"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c>
          <w:tcPr>
            <w:tcW w:w="567" w:type="dxa"/>
            <w:vMerge w:val="continue"/>
            <w:shd w:val="clear" w:color="auto" w:fill="auto"/>
            <w:vAlign w:val="center"/>
          </w:tcPr>
          <w:p>
            <w:pPr>
              <w:spacing w:line="240" w:lineRule="exact"/>
              <w:rPr>
                <w:rFonts w:ascii="仿宋_GB2312" w:hAnsi="宋体" w:eastAsia="仿宋_GB2312"/>
                <w:color w:val="000000"/>
                <w:sz w:val="18"/>
                <w:szCs w:val="18"/>
              </w:rPr>
            </w:pPr>
          </w:p>
        </w:tc>
      </w:tr>
    </w:tbl>
    <w:p>
      <w:pPr>
        <w:spacing w:line="600" w:lineRule="exact"/>
        <w:rPr>
          <w:rFonts w:hint="eastAsia"/>
        </w:rPr>
      </w:pPr>
    </w:p>
    <w:sectPr>
      <w:footerReference r:id="rId3" w:type="default"/>
      <w:pgSz w:w="16838" w:h="11906" w:orient="landscape"/>
      <w:pgMar w:top="567" w:right="567" w:bottom="567" w:left="56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55459630"/>
      <w:docPartObj>
        <w:docPartGallery w:val="autotext"/>
      </w:docPartObj>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3"/>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0E"/>
    <w:rsid w:val="00081C9F"/>
    <w:rsid w:val="00142A39"/>
    <w:rsid w:val="00236B91"/>
    <w:rsid w:val="002A14A6"/>
    <w:rsid w:val="002A338B"/>
    <w:rsid w:val="002E6FAE"/>
    <w:rsid w:val="002E7290"/>
    <w:rsid w:val="00380DA3"/>
    <w:rsid w:val="003A13B4"/>
    <w:rsid w:val="003B26FE"/>
    <w:rsid w:val="006A13E4"/>
    <w:rsid w:val="007313B3"/>
    <w:rsid w:val="00744ED5"/>
    <w:rsid w:val="008F36B1"/>
    <w:rsid w:val="00A22061"/>
    <w:rsid w:val="00A83522"/>
    <w:rsid w:val="00A85919"/>
    <w:rsid w:val="00AB2D78"/>
    <w:rsid w:val="00AC2CC1"/>
    <w:rsid w:val="00AF5193"/>
    <w:rsid w:val="00B4710E"/>
    <w:rsid w:val="00C060BB"/>
    <w:rsid w:val="00D41E8B"/>
    <w:rsid w:val="00ED0DC8"/>
    <w:rsid w:val="42E57528"/>
    <w:rsid w:val="63557F8F"/>
    <w:rsid w:val="6DC94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仿宋_GB2312" w:hAnsi="宋体" w:eastAsia="仿宋_GB2312"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仿宋_GB2312" w:hAnsi="宋体" w:eastAsia="仿宋_GB2312"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649</Words>
  <Characters>3701</Characters>
  <Lines>30</Lines>
  <Paragraphs>8</Paragraphs>
  <TotalTime>25</TotalTime>
  <ScaleCrop>false</ScaleCrop>
  <LinksUpToDate>false</LinksUpToDate>
  <CharactersWithSpaces>4342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2020-10-28T07:16:00Z</dcterms:created>
  <dc:creator>张明磊</dc:creator>
  <cp:lastModifiedBy>捭阖</cp:lastModifiedBy>
  <dcterms:modified xsi:type="dcterms:W3CDTF">2020-12-21T15:49:58Z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