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b/>
          <w:sz w:val="52"/>
          <w:szCs w:val="52"/>
        </w:rPr>
      </w:pPr>
      <w:r>
        <w:rPr>
          <w:rFonts w:hint="eastAsia" w:ascii="宋体" w:hAnsi="宋体"/>
          <w:b/>
          <w:sz w:val="52"/>
          <w:szCs w:val="52"/>
        </w:rPr>
        <w:t>关于铁岭市清河区</w:t>
      </w:r>
    </w:p>
    <w:p>
      <w:pPr>
        <w:spacing w:line="800" w:lineRule="exact"/>
        <w:jc w:val="center"/>
        <w:rPr>
          <w:rFonts w:ascii="宋体"/>
          <w:b/>
          <w:sz w:val="52"/>
          <w:szCs w:val="52"/>
        </w:rPr>
      </w:pPr>
      <w:r>
        <w:rPr>
          <w:rFonts w:ascii="宋体" w:hAnsi="宋体"/>
          <w:b/>
          <w:sz w:val="52"/>
          <w:szCs w:val="52"/>
        </w:rPr>
        <w:t>2020</w:t>
      </w:r>
      <w:r>
        <w:rPr>
          <w:rFonts w:hint="eastAsia" w:ascii="宋体" w:hAnsi="宋体"/>
          <w:b/>
          <w:sz w:val="52"/>
          <w:szCs w:val="52"/>
        </w:rPr>
        <w:t>年财政预算执行情况</w:t>
      </w:r>
    </w:p>
    <w:p>
      <w:pPr>
        <w:spacing w:line="800" w:lineRule="exact"/>
        <w:jc w:val="center"/>
        <w:rPr>
          <w:rFonts w:ascii="宋体"/>
          <w:b/>
          <w:sz w:val="52"/>
          <w:szCs w:val="52"/>
        </w:rPr>
      </w:pPr>
      <w:r>
        <w:rPr>
          <w:rFonts w:hint="eastAsia" w:ascii="宋体" w:hAnsi="宋体"/>
          <w:b/>
          <w:sz w:val="52"/>
          <w:szCs w:val="52"/>
        </w:rPr>
        <w:t>和</w:t>
      </w:r>
      <w:r>
        <w:rPr>
          <w:rFonts w:ascii="宋体" w:hAnsi="宋体"/>
          <w:b/>
          <w:sz w:val="52"/>
          <w:szCs w:val="52"/>
        </w:rPr>
        <w:t>2021</w:t>
      </w:r>
      <w:r>
        <w:rPr>
          <w:rFonts w:hint="eastAsia" w:ascii="宋体" w:hAnsi="宋体"/>
          <w:b/>
          <w:sz w:val="52"/>
          <w:szCs w:val="52"/>
        </w:rPr>
        <w:t>年财政预算草案的报告</w:t>
      </w:r>
    </w:p>
    <w:p>
      <w:pPr>
        <w:spacing w:line="440" w:lineRule="exact"/>
        <w:jc w:val="center"/>
        <w:rPr>
          <w:rFonts w:eastAsia="仿宋_GB2312"/>
          <w:spacing w:val="-12"/>
          <w:sz w:val="28"/>
        </w:rPr>
      </w:pPr>
    </w:p>
    <w:p>
      <w:pPr>
        <w:spacing w:line="440" w:lineRule="exact"/>
        <w:jc w:val="center"/>
        <w:rPr>
          <w:rFonts w:eastAsia="仿宋_GB2312"/>
          <w:spacing w:val="-12"/>
          <w:sz w:val="28"/>
        </w:rPr>
      </w:pPr>
      <w:r>
        <w:rPr>
          <w:rFonts w:eastAsia="仿宋_GB2312"/>
          <w:spacing w:val="-12"/>
          <w:sz w:val="28"/>
        </w:rPr>
        <w:t xml:space="preserve">      </w:t>
      </w:r>
      <w:r>
        <w:rPr>
          <w:rFonts w:hint="eastAsia" w:eastAsia="仿宋_GB2312"/>
          <w:spacing w:val="-12"/>
          <w:sz w:val="28"/>
        </w:rPr>
        <w:t>（</w:t>
      </w:r>
      <w:r>
        <w:rPr>
          <w:rFonts w:eastAsia="仿宋_GB2312"/>
          <w:spacing w:val="-12"/>
          <w:sz w:val="28"/>
        </w:rPr>
        <w:t>2020</w:t>
      </w:r>
      <w:r>
        <w:rPr>
          <w:rFonts w:hint="eastAsia" w:eastAsia="仿宋_GB2312"/>
          <w:spacing w:val="-12"/>
          <w:sz w:val="28"/>
        </w:rPr>
        <w:t>年</w:t>
      </w:r>
      <w:r>
        <w:rPr>
          <w:rFonts w:eastAsia="仿宋_GB2312"/>
          <w:spacing w:val="-12"/>
          <w:sz w:val="28"/>
        </w:rPr>
        <w:t>12</w:t>
      </w:r>
      <w:r>
        <w:rPr>
          <w:rFonts w:hint="eastAsia" w:eastAsia="仿宋_GB2312"/>
          <w:spacing w:val="-12"/>
          <w:sz w:val="28"/>
        </w:rPr>
        <w:t>月</w:t>
      </w:r>
      <w:r>
        <w:rPr>
          <w:rFonts w:eastAsia="仿宋_GB2312"/>
          <w:spacing w:val="-12"/>
          <w:sz w:val="28"/>
        </w:rPr>
        <w:t>23</w:t>
      </w:r>
      <w:r>
        <w:rPr>
          <w:rFonts w:hint="eastAsia" w:eastAsia="仿宋_GB2312"/>
          <w:spacing w:val="-12"/>
          <w:sz w:val="28"/>
        </w:rPr>
        <w:t>日铁岭市清河区九届人大五次会议第一次全体会议上）</w:t>
      </w:r>
    </w:p>
    <w:p>
      <w:pPr>
        <w:spacing w:line="420" w:lineRule="exact"/>
        <w:jc w:val="center"/>
        <w:rPr>
          <w:rFonts w:eastAsia="仿宋_GB2312"/>
          <w:spacing w:val="-6"/>
          <w:sz w:val="44"/>
          <w:szCs w:val="44"/>
        </w:rPr>
      </w:pPr>
    </w:p>
    <w:p>
      <w:pPr>
        <w:spacing w:line="420" w:lineRule="exact"/>
        <w:jc w:val="center"/>
        <w:rPr>
          <w:rFonts w:ascii="仿宋" w:hAnsi="仿宋" w:eastAsia="仿宋"/>
          <w:sz w:val="32"/>
          <w:szCs w:val="32"/>
        </w:rPr>
      </w:pPr>
      <w:r>
        <w:rPr>
          <w:rFonts w:hint="eastAsia" w:ascii="仿宋" w:hAnsi="仿宋" w:eastAsia="仿宋"/>
          <w:sz w:val="32"/>
          <w:szCs w:val="32"/>
        </w:rPr>
        <w:t>区财政局局长</w:t>
      </w:r>
      <w:r>
        <w:rPr>
          <w:rFonts w:ascii="仿宋" w:hAnsi="仿宋" w:eastAsia="仿宋"/>
          <w:sz w:val="32"/>
          <w:szCs w:val="32"/>
        </w:rPr>
        <w:t xml:space="preserve">  </w:t>
      </w:r>
      <w:r>
        <w:rPr>
          <w:rFonts w:hint="eastAsia" w:ascii="仿宋" w:hAnsi="仿宋" w:eastAsia="仿宋"/>
          <w:sz w:val="32"/>
          <w:szCs w:val="32"/>
        </w:rPr>
        <w:t>赵宏旭</w:t>
      </w:r>
    </w:p>
    <w:p>
      <w:pPr>
        <w:spacing w:line="600" w:lineRule="exact"/>
        <w:jc w:val="center"/>
        <w:rPr>
          <w:rFonts w:ascii="宋体"/>
          <w:b/>
          <w:sz w:val="32"/>
          <w:szCs w:val="32"/>
        </w:rPr>
      </w:pPr>
    </w:p>
    <w:p>
      <w:pPr>
        <w:spacing w:line="600" w:lineRule="exact"/>
        <w:rPr>
          <w:rFonts w:ascii="仿宋_GB2312" w:eastAsia="仿宋_GB2312"/>
          <w:b/>
          <w:sz w:val="32"/>
          <w:szCs w:val="32"/>
        </w:rPr>
      </w:pPr>
      <w:r>
        <w:rPr>
          <w:rFonts w:hint="eastAsia" w:ascii="仿宋_GB2312" w:hAnsi="仿宋" w:eastAsia="仿宋_GB2312"/>
          <w:sz w:val="32"/>
          <w:szCs w:val="32"/>
        </w:rPr>
        <w:t>各位代表：</w:t>
      </w:r>
    </w:p>
    <w:p>
      <w:pPr>
        <w:spacing w:line="600" w:lineRule="exact"/>
        <w:ind w:firstLine="645"/>
        <w:rPr>
          <w:rFonts w:ascii="仿宋_GB2312" w:hAnsi="仿宋" w:eastAsia="仿宋_GB2312"/>
          <w:sz w:val="32"/>
          <w:szCs w:val="32"/>
        </w:rPr>
      </w:pPr>
      <w:r>
        <w:rPr>
          <w:rFonts w:hint="eastAsia" w:ascii="仿宋_GB2312" w:hAnsi="仿宋" w:eastAsia="仿宋_GB2312"/>
          <w:sz w:val="32"/>
          <w:szCs w:val="32"/>
        </w:rPr>
        <w:t>我受区人民政府委托，向大会报告2020年全区财政预算执行情况，提出2021年全区财政收支预算草案，请予审议，并请区政协各位委员和其他列席人员提出意见。</w:t>
      </w:r>
    </w:p>
    <w:p>
      <w:pPr>
        <w:spacing w:line="600" w:lineRule="exact"/>
        <w:ind w:firstLine="645"/>
        <w:rPr>
          <w:rFonts w:ascii="黑体" w:hAnsi="黑体" w:eastAsia="黑体" w:cs="仿宋_GB2312"/>
          <w:sz w:val="32"/>
          <w:szCs w:val="32"/>
        </w:rPr>
      </w:pPr>
      <w:r>
        <w:rPr>
          <w:rFonts w:hint="eastAsia" w:ascii="黑体" w:hAnsi="黑体" w:eastAsia="黑体"/>
          <w:sz w:val="32"/>
          <w:szCs w:val="32"/>
        </w:rPr>
        <w:t>一、</w:t>
      </w:r>
      <w:r>
        <w:rPr>
          <w:rFonts w:ascii="黑体" w:hAnsi="黑体" w:eastAsia="黑体" w:cs="仿宋_GB2312"/>
          <w:sz w:val="32"/>
          <w:szCs w:val="32"/>
        </w:rPr>
        <w:t>2020</w:t>
      </w:r>
      <w:r>
        <w:rPr>
          <w:rFonts w:hint="eastAsia" w:ascii="黑体" w:hAnsi="黑体" w:eastAsia="黑体" w:cs="仿宋_GB2312"/>
          <w:sz w:val="32"/>
          <w:szCs w:val="32"/>
        </w:rPr>
        <w:t>年财政预算执行情况</w:t>
      </w:r>
    </w:p>
    <w:p>
      <w:pPr>
        <w:autoSpaceDE w:val="0"/>
        <w:autoSpaceDN w:val="0"/>
        <w:adjustRightInd w:val="0"/>
        <w:snapToGrid w:val="0"/>
        <w:spacing w:line="600" w:lineRule="exact"/>
        <w:ind w:firstLine="642" w:firstLineChars="200"/>
        <w:rPr>
          <w:rFonts w:ascii="楷体" w:hAnsi="楷体" w:eastAsia="楷体"/>
          <w:sz w:val="32"/>
          <w:szCs w:val="32"/>
        </w:rPr>
      </w:pPr>
      <w:r>
        <w:rPr>
          <w:rFonts w:hint="eastAsia" w:ascii="楷体" w:hAnsi="楷体" w:eastAsia="楷体"/>
          <w:b/>
          <w:bCs/>
          <w:sz w:val="32"/>
          <w:szCs w:val="32"/>
        </w:rPr>
        <w:t>（一）一般公共预算收支决算情况</w:t>
      </w:r>
    </w:p>
    <w:p>
      <w:pPr>
        <w:pStyle w:val="9"/>
        <w:widowControl w:val="0"/>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全区一般公共预算收入预计实现</w:t>
      </w:r>
      <w:r>
        <w:rPr>
          <w:rFonts w:ascii="仿宋_GB2312" w:hAnsi="仿宋" w:eastAsia="仿宋_GB2312"/>
          <w:sz w:val="32"/>
          <w:szCs w:val="32"/>
        </w:rPr>
        <w:t>25000</w:t>
      </w:r>
      <w:r>
        <w:rPr>
          <w:rFonts w:hint="eastAsia" w:ascii="仿宋_GB2312" w:hAnsi="仿宋" w:eastAsia="仿宋_GB2312"/>
          <w:sz w:val="32"/>
          <w:szCs w:val="32"/>
        </w:rPr>
        <w:t>万元，完成年初预算的</w:t>
      </w:r>
      <w:r>
        <w:rPr>
          <w:rFonts w:ascii="仿宋_GB2312" w:hAnsi="仿宋" w:eastAsia="仿宋_GB2312"/>
          <w:sz w:val="32"/>
          <w:szCs w:val="32"/>
        </w:rPr>
        <w:t>100</w:t>
      </w:r>
      <w:r>
        <w:rPr>
          <w:rFonts w:hint="eastAsia" w:ascii="仿宋_GB2312" w:hAnsi="仿宋" w:eastAsia="仿宋_GB2312"/>
          <w:sz w:val="32"/>
          <w:szCs w:val="32"/>
        </w:rPr>
        <w:t>%，加上上级补助、上年结转和调入资金等收入，总收入</w:t>
      </w:r>
      <w:r>
        <w:rPr>
          <w:rFonts w:ascii="仿宋_GB2312" w:hAnsi="仿宋" w:eastAsia="仿宋_GB2312"/>
          <w:sz w:val="32"/>
          <w:szCs w:val="32"/>
        </w:rPr>
        <w:t>99429</w:t>
      </w:r>
      <w:r>
        <w:rPr>
          <w:rFonts w:hint="eastAsia" w:ascii="仿宋_GB2312" w:hAnsi="仿宋" w:eastAsia="仿宋_GB2312"/>
          <w:sz w:val="32"/>
          <w:szCs w:val="32"/>
        </w:rPr>
        <w:t>万元。全区一般公共预算支出预计实现</w:t>
      </w:r>
      <w:r>
        <w:rPr>
          <w:rFonts w:ascii="仿宋_GB2312" w:hAnsi="仿宋" w:eastAsia="仿宋_GB2312"/>
          <w:sz w:val="32"/>
          <w:szCs w:val="32"/>
        </w:rPr>
        <w:t>82059</w:t>
      </w:r>
      <w:r>
        <w:rPr>
          <w:rFonts w:hint="eastAsia" w:ascii="仿宋_GB2312" w:hAnsi="仿宋" w:eastAsia="仿宋_GB2312"/>
          <w:sz w:val="32"/>
          <w:szCs w:val="32"/>
        </w:rPr>
        <w:t>万元，完成年初预算的</w:t>
      </w:r>
      <w:r>
        <w:rPr>
          <w:rFonts w:ascii="仿宋_GB2312" w:hAnsi="仿宋" w:eastAsia="仿宋_GB2312"/>
          <w:sz w:val="32"/>
          <w:szCs w:val="32"/>
        </w:rPr>
        <w:t>95.8</w:t>
      </w:r>
      <w:r>
        <w:rPr>
          <w:rFonts w:hint="eastAsia" w:ascii="仿宋_GB2312" w:hAnsi="仿宋" w:eastAsia="仿宋_GB2312"/>
          <w:sz w:val="32"/>
          <w:szCs w:val="32"/>
        </w:rPr>
        <w:t>%，加上上解和结转下年等支出，总支出</w:t>
      </w:r>
      <w:r>
        <w:rPr>
          <w:rFonts w:ascii="仿宋_GB2312" w:hAnsi="仿宋" w:eastAsia="仿宋_GB2312"/>
          <w:sz w:val="32"/>
          <w:szCs w:val="32"/>
        </w:rPr>
        <w:t>99429</w:t>
      </w:r>
      <w:r>
        <w:rPr>
          <w:rFonts w:hint="eastAsia" w:ascii="仿宋_GB2312" w:hAnsi="仿宋" w:eastAsia="仿宋_GB2312"/>
          <w:sz w:val="32"/>
          <w:szCs w:val="32"/>
        </w:rPr>
        <w:t>万元。</w:t>
      </w:r>
    </w:p>
    <w:p>
      <w:pPr>
        <w:autoSpaceDE w:val="0"/>
        <w:autoSpaceDN w:val="0"/>
        <w:adjustRightInd w:val="0"/>
        <w:snapToGrid w:val="0"/>
        <w:spacing w:line="600" w:lineRule="exact"/>
        <w:ind w:firstLine="642" w:firstLineChars="200"/>
        <w:rPr>
          <w:rFonts w:ascii="楷体" w:hAnsi="楷体" w:eastAsia="楷体"/>
          <w:b/>
          <w:bCs/>
          <w:sz w:val="32"/>
          <w:szCs w:val="32"/>
        </w:rPr>
      </w:pPr>
      <w:r>
        <w:rPr>
          <w:rFonts w:hint="eastAsia" w:ascii="楷体" w:hAnsi="楷体" w:eastAsia="楷体"/>
          <w:b/>
          <w:bCs/>
          <w:sz w:val="32"/>
          <w:szCs w:val="32"/>
        </w:rPr>
        <w:t>（二）政府性基金收支决算情况</w:t>
      </w:r>
    </w:p>
    <w:p>
      <w:pPr>
        <w:pStyle w:val="9"/>
        <w:widowControl w:val="0"/>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全区政府性基金收入预计实现</w:t>
      </w:r>
      <w:r>
        <w:rPr>
          <w:rFonts w:ascii="仿宋_GB2312" w:hAnsi="仿宋" w:eastAsia="仿宋_GB2312"/>
          <w:sz w:val="32"/>
          <w:szCs w:val="32"/>
        </w:rPr>
        <w:t>753</w:t>
      </w:r>
      <w:r>
        <w:rPr>
          <w:rFonts w:hint="eastAsia" w:ascii="仿宋_GB2312" w:hAnsi="仿宋" w:eastAsia="仿宋_GB2312"/>
          <w:sz w:val="32"/>
          <w:szCs w:val="32"/>
        </w:rPr>
        <w:t>0万元，加上上级补助、上年结转和债务转贷收入等，总收入</w:t>
      </w:r>
      <w:r>
        <w:rPr>
          <w:rFonts w:ascii="仿宋_GB2312" w:hAnsi="仿宋" w:eastAsia="仿宋_GB2312"/>
          <w:sz w:val="32"/>
          <w:szCs w:val="32"/>
        </w:rPr>
        <w:t>22822</w:t>
      </w:r>
      <w:r>
        <w:rPr>
          <w:rFonts w:hint="eastAsia" w:ascii="仿宋_GB2312" w:hAnsi="仿宋" w:eastAsia="仿宋_GB2312"/>
          <w:sz w:val="32"/>
          <w:szCs w:val="32"/>
        </w:rPr>
        <w:t>万元。全区政府性基金支出预计实现</w:t>
      </w:r>
      <w:r>
        <w:rPr>
          <w:rFonts w:ascii="仿宋_GB2312" w:hAnsi="仿宋" w:eastAsia="仿宋_GB2312"/>
          <w:sz w:val="32"/>
          <w:szCs w:val="32"/>
        </w:rPr>
        <w:t>19667</w:t>
      </w:r>
      <w:r>
        <w:rPr>
          <w:rFonts w:hint="eastAsia" w:ascii="仿宋_GB2312" w:hAnsi="仿宋" w:eastAsia="仿宋_GB2312"/>
          <w:sz w:val="32"/>
          <w:szCs w:val="32"/>
        </w:rPr>
        <w:t>万元，加上结转下年支出后，总支出</w:t>
      </w:r>
      <w:r>
        <w:rPr>
          <w:rFonts w:ascii="仿宋_GB2312" w:hAnsi="仿宋" w:eastAsia="仿宋_GB2312"/>
          <w:sz w:val="32"/>
          <w:szCs w:val="32"/>
        </w:rPr>
        <w:t>22822</w:t>
      </w:r>
      <w:r>
        <w:rPr>
          <w:rFonts w:hint="eastAsia" w:ascii="仿宋_GB2312" w:hAnsi="仿宋" w:eastAsia="仿宋_GB2312"/>
          <w:sz w:val="32"/>
          <w:szCs w:val="32"/>
        </w:rPr>
        <w:t>万元。</w:t>
      </w:r>
    </w:p>
    <w:p>
      <w:pPr>
        <w:autoSpaceDE w:val="0"/>
        <w:autoSpaceDN w:val="0"/>
        <w:adjustRightInd w:val="0"/>
        <w:snapToGrid w:val="0"/>
        <w:spacing w:line="600" w:lineRule="exact"/>
        <w:ind w:firstLine="642" w:firstLineChars="200"/>
        <w:rPr>
          <w:rFonts w:ascii="楷体" w:hAnsi="楷体" w:eastAsia="楷体"/>
          <w:b/>
          <w:bCs/>
          <w:sz w:val="32"/>
          <w:szCs w:val="32"/>
        </w:rPr>
      </w:pPr>
      <w:r>
        <w:rPr>
          <w:rFonts w:hint="eastAsia" w:ascii="楷体" w:hAnsi="楷体" w:eastAsia="楷体"/>
          <w:b/>
          <w:bCs/>
          <w:sz w:val="32"/>
          <w:szCs w:val="32"/>
        </w:rPr>
        <w:t>（三）社会保险基金收支决算情况</w:t>
      </w:r>
    </w:p>
    <w:p>
      <w:pPr>
        <w:autoSpaceDE w:val="0"/>
        <w:autoSpaceDN w:val="0"/>
        <w:adjustRightInd w:val="0"/>
        <w:snapToGrid w:val="0"/>
        <w:spacing w:line="600" w:lineRule="exact"/>
        <w:ind w:firstLine="640" w:firstLineChars="200"/>
        <w:rPr>
          <w:rFonts w:ascii="仿宋_GB2312" w:hAnsi="楷体" w:eastAsia="仿宋_GB2312"/>
          <w:bCs/>
          <w:sz w:val="32"/>
          <w:szCs w:val="32"/>
        </w:rPr>
      </w:pPr>
      <w:r>
        <w:rPr>
          <w:rFonts w:hint="eastAsia" w:ascii="仿宋_GB2312" w:hAnsi="楷体" w:eastAsia="仿宋_GB2312"/>
          <w:bCs/>
          <w:sz w:val="32"/>
          <w:szCs w:val="32"/>
        </w:rPr>
        <w:t>全区社会保险基金收入预计实现21150万元，完成年初预算的104.1%；社会保险基金支出17966万元，完成年初预算的101.5%。收支相抵后，当年结余3184万元。其中：机关事业养老保险收入</w:t>
      </w:r>
      <w:r>
        <w:rPr>
          <w:rFonts w:ascii="仿宋_GB2312" w:hAnsi="楷体" w:eastAsia="仿宋_GB2312"/>
          <w:bCs/>
          <w:sz w:val="32"/>
          <w:szCs w:val="32"/>
        </w:rPr>
        <w:t>5473</w:t>
      </w:r>
      <w:r>
        <w:rPr>
          <w:rFonts w:hint="eastAsia" w:ascii="仿宋_GB2312" w:hAnsi="楷体" w:eastAsia="仿宋_GB2312"/>
          <w:bCs/>
          <w:sz w:val="32"/>
          <w:szCs w:val="32"/>
        </w:rPr>
        <w:t>万元，完成年初预算的</w:t>
      </w:r>
      <w:r>
        <w:rPr>
          <w:rFonts w:ascii="仿宋_GB2312" w:hAnsi="楷体" w:eastAsia="仿宋_GB2312"/>
          <w:bCs/>
          <w:sz w:val="32"/>
          <w:szCs w:val="32"/>
        </w:rPr>
        <w:t>83</w:t>
      </w:r>
      <w:r>
        <w:rPr>
          <w:rFonts w:hint="eastAsia" w:ascii="仿宋_GB2312" w:hAnsi="楷体" w:eastAsia="仿宋_GB2312"/>
          <w:bCs/>
          <w:sz w:val="32"/>
          <w:szCs w:val="32"/>
        </w:rPr>
        <w:t>%；机关事业养老保险支出7031万元，完成年初预算的106.6%，当年收支缺口1558万元。</w:t>
      </w:r>
    </w:p>
    <w:p>
      <w:pPr>
        <w:autoSpaceDE w:val="0"/>
        <w:autoSpaceDN w:val="0"/>
        <w:adjustRightInd w:val="0"/>
        <w:snapToGrid w:val="0"/>
        <w:spacing w:line="600" w:lineRule="exact"/>
        <w:ind w:firstLine="642" w:firstLineChars="200"/>
        <w:rPr>
          <w:rFonts w:ascii="楷体" w:hAnsi="楷体" w:eastAsia="楷体"/>
          <w:b/>
          <w:bCs/>
          <w:sz w:val="32"/>
          <w:szCs w:val="32"/>
        </w:rPr>
      </w:pPr>
      <w:r>
        <w:rPr>
          <w:rFonts w:hint="eastAsia" w:ascii="楷体" w:hAnsi="楷体" w:eastAsia="楷体"/>
          <w:b/>
          <w:bCs/>
          <w:sz w:val="32"/>
          <w:szCs w:val="32"/>
        </w:rPr>
        <w:t>（四）执行区九届人大四次会议决议情况</w:t>
      </w:r>
    </w:p>
    <w:p>
      <w:pPr>
        <w:spacing w:line="600" w:lineRule="exact"/>
        <w:ind w:firstLine="645"/>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1、</w:t>
      </w:r>
      <w:r>
        <w:rPr>
          <w:rFonts w:hint="eastAsia" w:asciiTheme="majorEastAsia" w:hAnsiTheme="majorEastAsia" w:eastAsiaTheme="majorEastAsia"/>
          <w:b/>
          <w:bCs/>
          <w:sz w:val="32"/>
          <w:szCs w:val="32"/>
        </w:rPr>
        <w:t>在严征细管中践行初心，</w:t>
      </w:r>
      <w:r>
        <w:rPr>
          <w:rFonts w:hint="eastAsia" w:asciiTheme="majorEastAsia" w:hAnsiTheme="majorEastAsia" w:eastAsiaTheme="majorEastAsia"/>
          <w:b/>
          <w:sz w:val="32"/>
          <w:szCs w:val="32"/>
        </w:rPr>
        <w:t>全力夯实发展基础</w:t>
      </w:r>
    </w:p>
    <w:p>
      <w:pPr>
        <w:spacing w:line="600" w:lineRule="exact"/>
        <w:ind w:firstLine="645"/>
        <w:rPr>
          <w:rFonts w:ascii="仿宋_GB2312" w:hAnsi="仿宋" w:eastAsia="仿宋_GB2312"/>
          <w:sz w:val="32"/>
          <w:szCs w:val="32"/>
        </w:rPr>
      </w:pPr>
      <w:r>
        <w:rPr>
          <w:rFonts w:hint="eastAsia" w:ascii="仿宋_GB2312" w:eastAsia="仿宋_GB2312"/>
          <w:b/>
          <w:sz w:val="32"/>
          <w:szCs w:val="32"/>
        </w:rPr>
        <w:t>一是科学研判提质增量。</w:t>
      </w:r>
      <w:r>
        <w:rPr>
          <w:rFonts w:hint="eastAsia" w:ascii="仿宋_GB2312" w:eastAsia="仿宋_GB2312"/>
          <w:sz w:val="32"/>
          <w:szCs w:val="32"/>
        </w:rPr>
        <w:t>针对新冠肺炎疫情对我区经济运行造成的不利影响，区财税部门积极开展重点企业税收调研，</w:t>
      </w:r>
      <w:r>
        <w:rPr>
          <w:rFonts w:hint="eastAsia" w:ascii="仿宋_GB2312" w:hAnsi="宋体" w:eastAsia="仿宋_GB2312"/>
          <w:sz w:val="32"/>
          <w:szCs w:val="32"/>
        </w:rPr>
        <w:t>及时跟踪企业复工复产进度</w:t>
      </w:r>
      <w:r>
        <w:rPr>
          <w:rFonts w:hint="eastAsia" w:ascii="仿宋_GB2312" w:eastAsia="仿宋_GB2312"/>
          <w:sz w:val="32"/>
          <w:szCs w:val="32"/>
        </w:rPr>
        <w:t>，全力管控域外涉税</w:t>
      </w:r>
      <w:r>
        <w:rPr>
          <w:rFonts w:hint="eastAsia" w:ascii="仿宋_GB2312" w:hAnsi="宋体" w:eastAsia="仿宋_GB2312"/>
          <w:sz w:val="32"/>
          <w:szCs w:val="32"/>
        </w:rPr>
        <w:t>项目，切实抓好涉土税收清查，</w:t>
      </w:r>
      <w:r>
        <w:rPr>
          <w:rFonts w:hint="eastAsia" w:ascii="仿宋_GB2312" w:eastAsia="仿宋_GB2312"/>
          <w:sz w:val="32"/>
          <w:szCs w:val="32"/>
        </w:rPr>
        <w:t>全年清缴欠税1500余万元，有效缓解了疫情期间财政收支压力。</w:t>
      </w:r>
      <w:r>
        <w:rPr>
          <w:rFonts w:hint="eastAsia" w:ascii="仿宋_GB2312" w:eastAsia="仿宋_GB2312"/>
          <w:b/>
          <w:sz w:val="32"/>
          <w:szCs w:val="32"/>
        </w:rPr>
        <w:t>二是减税降费助企纾困。</w:t>
      </w:r>
      <w:r>
        <w:rPr>
          <w:rFonts w:hint="eastAsia" w:ascii="仿宋_GB2312" w:eastAsia="仿宋_GB2312"/>
          <w:sz w:val="32"/>
          <w:szCs w:val="32"/>
        </w:rPr>
        <w:t>认真</w:t>
      </w:r>
      <w:r>
        <w:rPr>
          <w:rFonts w:hint="eastAsia" w:ascii="仿宋_GB2312" w:hAnsi="宋体" w:eastAsia="仿宋_GB2312"/>
          <w:sz w:val="32"/>
          <w:szCs w:val="32"/>
        </w:rPr>
        <w:t>落实减税降费政策，定期</w:t>
      </w:r>
      <w:r>
        <w:rPr>
          <w:rFonts w:hint="eastAsia" w:ascii="仿宋_GB2312" w:eastAsia="仿宋_GB2312"/>
          <w:sz w:val="32"/>
          <w:szCs w:val="32"/>
        </w:rPr>
        <w:t>开展政策宣传和辅导，</w:t>
      </w:r>
      <w:r>
        <w:rPr>
          <w:rFonts w:hint="eastAsia" w:ascii="仿宋_GB2312" w:hAnsi="宋体" w:eastAsia="仿宋_GB2312"/>
          <w:sz w:val="32"/>
          <w:szCs w:val="32"/>
        </w:rPr>
        <w:t>跟踪研判政策实施效果，</w:t>
      </w:r>
      <w:r>
        <w:rPr>
          <w:rFonts w:hint="eastAsia" w:ascii="仿宋_GB2312" w:eastAsia="仿宋_GB2312"/>
          <w:sz w:val="32"/>
          <w:szCs w:val="32"/>
        </w:rPr>
        <w:t>累计减免企业各项税费</w:t>
      </w:r>
      <w:r>
        <w:rPr>
          <w:rFonts w:ascii="仿宋_GB2312" w:eastAsia="仿宋_GB2312"/>
          <w:sz w:val="32"/>
          <w:szCs w:val="32"/>
        </w:rPr>
        <w:t>5926</w:t>
      </w:r>
      <w:r>
        <w:rPr>
          <w:rFonts w:hint="eastAsia" w:ascii="仿宋_GB2312" w:eastAsia="仿宋_GB2312"/>
          <w:sz w:val="32"/>
          <w:szCs w:val="32"/>
        </w:rPr>
        <w:t>万元，助力企业平稳渡过疫情难关；全力</w:t>
      </w:r>
      <w:r>
        <w:rPr>
          <w:rFonts w:hint="eastAsia" w:ascii="仿宋_GB2312" w:hAnsi="仿宋" w:eastAsia="仿宋_GB2312"/>
          <w:sz w:val="32"/>
          <w:szCs w:val="32"/>
        </w:rPr>
        <w:t>引导金融机构服务实体经济</w:t>
      </w:r>
      <w:r>
        <w:rPr>
          <w:rFonts w:hint="eastAsia" w:ascii="仿宋_GB2312" w:eastAsia="仿宋_GB2312"/>
          <w:sz w:val="32"/>
          <w:szCs w:val="32"/>
        </w:rPr>
        <w:t>，</w:t>
      </w:r>
      <w:r>
        <w:rPr>
          <w:rFonts w:hint="eastAsia" w:ascii="仿宋_GB2312" w:hAnsi="仿宋" w:eastAsia="仿宋_GB2312" w:cs="仿宋"/>
          <w:sz w:val="32"/>
          <w:szCs w:val="32"/>
        </w:rPr>
        <w:t>协助区内企业办理担保贷款7</w:t>
      </w:r>
      <w:r>
        <w:rPr>
          <w:rFonts w:ascii="仿宋_GB2312" w:hAnsi="仿宋" w:eastAsia="仿宋_GB2312" w:cs="仿宋"/>
          <w:sz w:val="32"/>
          <w:szCs w:val="32"/>
        </w:rPr>
        <w:t>018</w:t>
      </w:r>
      <w:r>
        <w:rPr>
          <w:rFonts w:hint="eastAsia" w:ascii="仿宋_GB2312" w:hAnsi="仿宋" w:eastAsia="仿宋_GB2312" w:cs="仿宋"/>
          <w:sz w:val="32"/>
          <w:szCs w:val="32"/>
        </w:rPr>
        <w:t>万元，协调金融机构流动资金贷款5.56亿元，</w:t>
      </w:r>
      <w:r>
        <w:rPr>
          <w:rFonts w:hint="eastAsia" w:ascii="仿宋_GB2312" w:eastAsia="仿宋_GB2312"/>
          <w:sz w:val="32"/>
          <w:szCs w:val="32"/>
        </w:rPr>
        <w:t>努力把疫情对我区经济运行的影响降到最低。</w:t>
      </w:r>
      <w:r>
        <w:rPr>
          <w:rFonts w:hint="eastAsia" w:ascii="仿宋_GB2312" w:eastAsia="仿宋_GB2312"/>
          <w:b/>
          <w:sz w:val="32"/>
          <w:szCs w:val="32"/>
        </w:rPr>
        <w:t>三是整合政策借力发展。</w:t>
      </w:r>
      <w:r>
        <w:rPr>
          <w:rFonts w:hint="eastAsia" w:ascii="仿宋_GB2312" w:hAnsi="宋体" w:eastAsia="仿宋_GB2312"/>
          <w:bCs/>
          <w:sz w:val="32"/>
          <w:szCs w:val="32"/>
        </w:rPr>
        <w:t>加强与省市财政的沟通联系，</w:t>
      </w:r>
      <w:r>
        <w:rPr>
          <w:rFonts w:hint="eastAsia" w:ascii="仿宋_GB2312" w:hAnsi="黑体" w:eastAsia="仿宋_GB2312"/>
          <w:sz w:val="32"/>
          <w:szCs w:val="32"/>
        </w:rPr>
        <w:t>及时反馈我区疫情期间减收增支情况，借势借力推动清河经济发展，全年到位各类上级资金4.85亿元，</w:t>
      </w:r>
      <w:r>
        <w:rPr>
          <w:rFonts w:hint="eastAsia" w:ascii="仿宋_GB2312" w:hAnsi="仿宋" w:eastAsia="仿宋_GB2312"/>
          <w:sz w:val="32"/>
          <w:szCs w:val="32"/>
        </w:rPr>
        <w:t>新增债券资金1.64亿元，争取企业养老保险调剂金2198万元，有效缓解了我区发展资金不足的困境。</w:t>
      </w:r>
    </w:p>
    <w:p>
      <w:pPr>
        <w:spacing w:line="600" w:lineRule="exact"/>
        <w:ind w:firstLine="645"/>
        <w:jc w:val="left"/>
        <w:rPr>
          <w:rFonts w:asciiTheme="majorEastAsia" w:hAnsiTheme="majorEastAsia" w:eastAsiaTheme="majorEastAsia"/>
          <w:b/>
          <w:sz w:val="32"/>
          <w:szCs w:val="32"/>
        </w:rPr>
      </w:pPr>
      <w:r>
        <w:rPr>
          <w:rFonts w:asciiTheme="majorEastAsia" w:hAnsiTheme="majorEastAsia" w:eastAsiaTheme="majorEastAsia"/>
          <w:b/>
          <w:sz w:val="32"/>
          <w:szCs w:val="32"/>
        </w:rPr>
        <w:t>2、</w:t>
      </w:r>
      <w:r>
        <w:rPr>
          <w:rFonts w:hint="eastAsia" w:asciiTheme="majorEastAsia" w:hAnsiTheme="majorEastAsia" w:eastAsiaTheme="majorEastAsia"/>
          <w:b/>
          <w:sz w:val="32"/>
          <w:szCs w:val="32"/>
        </w:rPr>
        <w:t>在优化支出中牢记使命，全力增强民生福祉</w:t>
      </w:r>
    </w:p>
    <w:p>
      <w:pPr>
        <w:spacing w:line="600" w:lineRule="exact"/>
        <w:ind w:firstLine="645"/>
        <w:rPr>
          <w:rFonts w:ascii="仿宋_GB2312" w:hAnsi="微软雅黑" w:eastAsia="仿宋_GB2312"/>
          <w:bCs/>
          <w:color w:val="000000"/>
          <w:sz w:val="32"/>
          <w:szCs w:val="32"/>
          <w:shd w:val="clear" w:color="auto" w:fill="FFFFFF"/>
        </w:rPr>
      </w:pPr>
      <w:r>
        <w:rPr>
          <w:rFonts w:hint="eastAsia" w:ascii="仿宋_GB2312" w:hAnsi="宋体" w:eastAsia="仿宋_GB2312"/>
          <w:b/>
          <w:color w:val="000000"/>
          <w:sz w:val="32"/>
          <w:szCs w:val="32"/>
          <w:shd w:val="clear" w:color="auto" w:fill="FFFFFF"/>
        </w:rPr>
        <w:t>一是疫情防控保障有力。</w:t>
      </w:r>
      <w:r>
        <w:rPr>
          <w:rFonts w:hint="eastAsia" w:ascii="仿宋_GB2312" w:hAnsi="宋体" w:eastAsia="仿宋_GB2312"/>
          <w:color w:val="000000"/>
          <w:sz w:val="32"/>
          <w:szCs w:val="32"/>
          <w:shd w:val="clear" w:color="auto" w:fill="FFFFFF"/>
        </w:rPr>
        <w:t>按照“科学防控、精准施策”的要求，认真履行财政职责，及时制定疫情防控库款保障应急预案，准确把握疫情发展态势和防控需求，积极整合上级专项、社会捐赠等资金渠道，精准聚焦，精准投放，全年落实抗疫资金</w:t>
      </w:r>
      <w:r>
        <w:rPr>
          <w:rFonts w:ascii="仿宋_GB2312" w:hAnsi="宋体" w:eastAsia="仿宋_GB2312"/>
          <w:color w:val="000000"/>
          <w:sz w:val="32"/>
          <w:szCs w:val="32"/>
          <w:shd w:val="clear" w:color="auto" w:fill="FFFFFF"/>
        </w:rPr>
        <w:t>992</w:t>
      </w:r>
      <w:r>
        <w:rPr>
          <w:rFonts w:hint="eastAsia" w:ascii="仿宋_GB2312" w:hAnsi="宋体" w:eastAsia="仿宋_GB2312"/>
          <w:color w:val="000000"/>
          <w:sz w:val="32"/>
          <w:szCs w:val="32"/>
          <w:shd w:val="clear" w:color="auto" w:fill="FFFFFF"/>
        </w:rPr>
        <w:t>万元，为打赢疫情防控阻击战提供了坚实的资金保障。</w:t>
      </w:r>
      <w:r>
        <w:rPr>
          <w:rFonts w:hint="eastAsia" w:ascii="仿宋_GB2312" w:hAnsi="微软雅黑" w:eastAsia="仿宋_GB2312"/>
          <w:b/>
          <w:color w:val="2B2B2B"/>
          <w:sz w:val="32"/>
          <w:szCs w:val="32"/>
          <w:shd w:val="clear" w:color="auto" w:fill="FFFFFF"/>
        </w:rPr>
        <w:t>二是兜实兜牢“三保”底线。</w:t>
      </w:r>
      <w:r>
        <w:rPr>
          <w:rFonts w:hint="eastAsia" w:ascii="仿宋_GB2312" w:hAnsi="微软雅黑" w:eastAsia="仿宋_GB2312"/>
          <w:color w:val="2B2B2B"/>
          <w:sz w:val="32"/>
          <w:szCs w:val="32"/>
          <w:shd w:val="clear" w:color="auto" w:fill="FFFFFF"/>
        </w:rPr>
        <w:t>全年安排</w:t>
      </w:r>
      <w:r>
        <w:rPr>
          <w:rFonts w:hint="eastAsia" w:ascii="仿宋_GB2312" w:hAnsi="仿宋" w:eastAsia="仿宋_GB2312"/>
          <w:sz w:val="32"/>
          <w:szCs w:val="32"/>
        </w:rPr>
        <w:t>工资类支出2.9亿元，足额保障了工资、养老以及公务员车补等基本支出需求；安排企业养老补助支出</w:t>
      </w:r>
      <w:r>
        <w:rPr>
          <w:rFonts w:ascii="仿宋_GB2312" w:hAnsi="仿宋" w:eastAsia="仿宋_GB2312"/>
          <w:sz w:val="32"/>
          <w:szCs w:val="32"/>
        </w:rPr>
        <w:t>405</w:t>
      </w:r>
      <w:r>
        <w:rPr>
          <w:rFonts w:hint="eastAsia" w:ascii="仿宋_GB2312" w:hAnsi="仿宋" w:eastAsia="仿宋_GB2312"/>
          <w:sz w:val="32"/>
          <w:szCs w:val="32"/>
        </w:rPr>
        <w:t>万元，有效缓解了企业养老金收支矛盾；安排补缴职业年金支出</w:t>
      </w:r>
      <w:r>
        <w:rPr>
          <w:rFonts w:ascii="仿宋_GB2312" w:hAnsi="仿宋" w:eastAsia="仿宋_GB2312"/>
          <w:sz w:val="32"/>
          <w:szCs w:val="32"/>
        </w:rPr>
        <w:t>2623</w:t>
      </w:r>
      <w:r>
        <w:rPr>
          <w:rFonts w:hint="eastAsia" w:ascii="仿宋_GB2312" w:hAnsi="仿宋" w:eastAsia="仿宋_GB2312"/>
          <w:sz w:val="32"/>
          <w:szCs w:val="32"/>
        </w:rPr>
        <w:t>万元，确保了全区机关事业养老改</w:t>
      </w:r>
      <w:r>
        <w:rPr>
          <w:rFonts w:hint="eastAsia" w:ascii="仿宋_GB2312" w:hAnsi="仿宋" w:eastAsia="仿宋_GB2312"/>
          <w:color w:val="000000"/>
          <w:sz w:val="32"/>
          <w:szCs w:val="32"/>
        </w:rPr>
        <w:t>革的顺利推进；落实基本民生支出1.5亿元，有力支持了教育、医疗等民生事业发展，城乡环境逐年改善。</w:t>
      </w:r>
      <w:r>
        <w:rPr>
          <w:rFonts w:hint="eastAsia" w:ascii="仿宋_GB2312" w:hAnsi="黑体" w:eastAsia="仿宋_GB2312"/>
          <w:b/>
          <w:color w:val="000000"/>
          <w:sz w:val="32"/>
          <w:szCs w:val="32"/>
          <w:shd w:val="clear" w:color="auto" w:fill="FFFFFF"/>
        </w:rPr>
        <w:t>三是三大攻坚持续发力。</w:t>
      </w:r>
      <w:r>
        <w:rPr>
          <w:rFonts w:hint="eastAsia" w:ascii="仿宋_GB2312" w:hAnsi="微软雅黑" w:eastAsia="仿宋_GB2312"/>
          <w:bCs/>
          <w:color w:val="000000"/>
          <w:sz w:val="32"/>
          <w:szCs w:val="32"/>
          <w:shd w:val="clear" w:color="auto" w:fill="FFFFFF"/>
        </w:rPr>
        <w:t>落实扶贫资金1087万元，其中安排产业类资金993万元，较上年增长199%，助力</w:t>
      </w:r>
      <w:r>
        <w:fldChar w:fldCharType="begin"/>
      </w:r>
      <w:r>
        <w:instrText xml:space="preserve"> HYPERLINK "https://www.so.com/link?m=bJQvJlXreL1DBlSnvg5EWbePmLdAj1rvNqa0bN6Owxe9KnKE0IIJA2r%2BwgI%2BPlz5nmQFsesqv%2BbzPIIUW3dn74Bk3Us9Fs2hYygigXCFdaiCS1GHx1Fi%2BqpS46UyRP%2BTpannHCaD79dk2PGzMAwhW%2FbwoK0uMTqnP8A5oQwuxB0zOX%2FiST79ZDvIih9hWx2w0vjfozOXyAB6WRd54uqTQt3HFXAqsEadaOQOzvU43zGXepNraynh2%2FaVTTYNj9gJZ6SFDMA%3D%3D" \t "_blank" </w:instrText>
      </w:r>
      <w:r>
        <w:fldChar w:fldCharType="separate"/>
      </w:r>
      <w:r>
        <w:rPr>
          <w:rFonts w:hint="eastAsia" w:ascii="仿宋_GB2312" w:hAnsi="仿宋" w:eastAsia="仿宋_GB2312"/>
          <w:sz w:val="32"/>
          <w:szCs w:val="32"/>
        </w:rPr>
        <w:t>脱贫攻坚圆</w:t>
      </w:r>
      <w:r>
        <w:rPr>
          <w:rFonts w:hint="eastAsia" w:ascii="仿宋_GB2312" w:hAnsi="仿宋" w:eastAsia="仿宋_GB2312"/>
          <w:color w:val="000000"/>
          <w:sz w:val="32"/>
          <w:szCs w:val="32"/>
        </w:rPr>
        <w:t>满收官</w:t>
      </w:r>
      <w:r>
        <w:rPr>
          <w:rFonts w:hint="eastAsia" w:ascii="仿宋_GB2312" w:hAnsi="仿宋" w:eastAsia="仿宋_GB2312"/>
          <w:color w:val="000000"/>
          <w:sz w:val="32"/>
          <w:szCs w:val="32"/>
        </w:rPr>
        <w:fldChar w:fldCharType="end"/>
      </w:r>
      <w:r>
        <w:rPr>
          <w:rFonts w:hint="eastAsia" w:ascii="仿宋_GB2312" w:hAnsi="仿宋" w:eastAsia="仿宋_GB2312"/>
          <w:color w:val="000000"/>
          <w:sz w:val="32"/>
          <w:szCs w:val="32"/>
        </w:rPr>
        <w:t>；安排环保专项资金150万元，农村环境整治</w:t>
      </w:r>
      <w:r>
        <w:rPr>
          <w:rFonts w:hint="eastAsia" w:ascii="仿宋_GB2312" w:hAnsi="微软雅黑" w:eastAsia="仿宋_GB2312"/>
          <w:bCs/>
          <w:color w:val="000000"/>
          <w:sz w:val="32"/>
          <w:szCs w:val="32"/>
          <w:shd w:val="clear" w:color="auto" w:fill="FFFFFF"/>
        </w:rPr>
        <w:t>和水源保护工作成效显著，污染防治有序推进；全年化解地方政府债务7016万元、隐性债务372万元，支付债券利息1763万元，政府债务风险总体可控。</w:t>
      </w:r>
    </w:p>
    <w:p>
      <w:pPr>
        <w:spacing w:line="600" w:lineRule="exact"/>
        <w:ind w:firstLine="645"/>
        <w:rPr>
          <w:rFonts w:asciiTheme="majorEastAsia" w:hAnsiTheme="majorEastAsia" w:eastAsiaTheme="majorEastAsia"/>
          <w:b/>
        </w:rPr>
      </w:pPr>
      <w:r>
        <w:rPr>
          <w:rFonts w:hint="eastAsia" w:asciiTheme="majorEastAsia" w:hAnsiTheme="majorEastAsia" w:eastAsiaTheme="majorEastAsia"/>
          <w:b/>
          <w:bCs/>
          <w:color w:val="000000"/>
          <w:sz w:val="32"/>
          <w:szCs w:val="32"/>
          <w:shd w:val="clear" w:color="auto" w:fill="FFFFFF"/>
        </w:rPr>
        <w:t>3、</w:t>
      </w:r>
      <w:r>
        <w:rPr>
          <w:rFonts w:hint="eastAsia" w:asciiTheme="majorEastAsia" w:hAnsiTheme="majorEastAsia" w:eastAsiaTheme="majorEastAsia"/>
          <w:b/>
          <w:bCs/>
          <w:sz w:val="32"/>
          <w:szCs w:val="32"/>
        </w:rPr>
        <w:t>在改革创新中履职尽责</w:t>
      </w:r>
      <w:r>
        <w:rPr>
          <w:rFonts w:hint="eastAsia" w:asciiTheme="majorEastAsia" w:hAnsiTheme="majorEastAsia" w:eastAsiaTheme="majorEastAsia"/>
          <w:b/>
          <w:sz w:val="32"/>
          <w:szCs w:val="32"/>
        </w:rPr>
        <w:t>，全力提升理财水平</w:t>
      </w:r>
    </w:p>
    <w:p>
      <w:pPr>
        <w:spacing w:line="600" w:lineRule="exact"/>
        <w:ind w:firstLine="645"/>
        <w:rPr>
          <w:rFonts w:ascii="仿宋_GB2312" w:hAnsi="仿宋" w:eastAsia="仿宋_GB2312"/>
          <w:color w:val="000000"/>
          <w:sz w:val="32"/>
          <w:szCs w:val="32"/>
        </w:rPr>
      </w:pPr>
      <w:r>
        <w:rPr>
          <w:rFonts w:hint="eastAsia" w:ascii="仿宋_GB2312" w:hAnsi="仿宋" w:eastAsia="仿宋_GB2312"/>
          <w:b/>
          <w:color w:val="000000"/>
          <w:sz w:val="32"/>
          <w:szCs w:val="32"/>
        </w:rPr>
        <w:t>一是严格预算管理。</w:t>
      </w:r>
      <w:r>
        <w:rPr>
          <w:rFonts w:hint="eastAsia" w:ascii="仿宋_GB2312" w:hAnsi="仿宋" w:eastAsia="仿宋_GB2312"/>
          <w:color w:val="000000"/>
          <w:sz w:val="32"/>
          <w:szCs w:val="32"/>
        </w:rPr>
        <w:t>牢固树立过紧日子思想，从严编制预算，从紧控制支出，科学合理安排预算执行，全年“三公”经费预算支出压缩5%，非刚性非重点项目支出压减</w:t>
      </w:r>
      <w:r>
        <w:rPr>
          <w:rFonts w:ascii="仿宋_GB2312" w:hAnsi="仿宋" w:eastAsia="仿宋_GB2312"/>
          <w:color w:val="000000"/>
          <w:sz w:val="32"/>
          <w:szCs w:val="32"/>
        </w:rPr>
        <w:t>10</w:t>
      </w:r>
      <w:r>
        <w:rPr>
          <w:rFonts w:hint="eastAsia" w:ascii="仿宋_GB2312" w:hAnsi="仿宋" w:eastAsia="仿宋_GB2312"/>
          <w:color w:val="000000"/>
          <w:sz w:val="32"/>
          <w:szCs w:val="32"/>
        </w:rPr>
        <w:t>%，财政资金使用效益进一步提升。</w:t>
      </w:r>
      <w:r>
        <w:rPr>
          <w:rFonts w:hint="eastAsia" w:ascii="仿宋_GB2312" w:hAnsi="仿宋" w:eastAsia="仿宋_GB2312"/>
          <w:b/>
          <w:color w:val="000000"/>
          <w:sz w:val="32"/>
          <w:szCs w:val="32"/>
        </w:rPr>
        <w:t>二是规范国资监管。</w:t>
      </w:r>
      <w:r>
        <w:rPr>
          <w:rFonts w:ascii="仿宋_GB2312" w:hAnsi="仿宋" w:eastAsia="仿宋_GB2312"/>
          <w:color w:val="000000"/>
          <w:sz w:val="32"/>
          <w:szCs w:val="32"/>
        </w:rPr>
        <w:t>健全</w:t>
      </w:r>
      <w:r>
        <w:rPr>
          <w:rFonts w:hint="eastAsia" w:ascii="仿宋_GB2312" w:hAnsi="仿宋" w:eastAsia="仿宋_GB2312"/>
          <w:color w:val="000000"/>
          <w:sz w:val="32"/>
          <w:szCs w:val="32"/>
        </w:rPr>
        <w:t>完善国有资产</w:t>
      </w:r>
      <w:r>
        <w:rPr>
          <w:rFonts w:ascii="仿宋_GB2312" w:hAnsi="仿宋" w:eastAsia="仿宋_GB2312"/>
          <w:color w:val="000000"/>
          <w:sz w:val="32"/>
          <w:szCs w:val="32"/>
        </w:rPr>
        <w:t>管理</w:t>
      </w:r>
      <w:r>
        <w:rPr>
          <w:rFonts w:hint="eastAsia" w:ascii="仿宋_GB2312" w:hAnsi="仿宋" w:eastAsia="仿宋_GB2312"/>
          <w:color w:val="000000"/>
          <w:sz w:val="32"/>
          <w:szCs w:val="32"/>
        </w:rPr>
        <w:t>办法，夯实部门主体责任，实现</w:t>
      </w:r>
      <w:r>
        <w:rPr>
          <w:rFonts w:ascii="仿宋_GB2312" w:hAnsi="仿宋" w:eastAsia="仿宋_GB2312"/>
          <w:color w:val="000000"/>
          <w:sz w:val="32"/>
          <w:szCs w:val="32"/>
        </w:rPr>
        <w:t>行政事业单位国有资产从购置、使用到处置全过程监管，</w:t>
      </w:r>
      <w:r>
        <w:rPr>
          <w:rFonts w:hint="eastAsia" w:ascii="仿宋_GB2312" w:hAnsi="仿宋" w:eastAsia="仿宋_GB2312"/>
          <w:color w:val="000000"/>
          <w:sz w:val="32"/>
          <w:szCs w:val="32"/>
        </w:rPr>
        <w:t>有序推进机构改革后续国有资产清理工作，</w:t>
      </w:r>
      <w:r>
        <w:rPr>
          <w:rFonts w:ascii="仿宋_GB2312" w:hAnsi="仿宋" w:eastAsia="仿宋_GB2312"/>
          <w:color w:val="000000"/>
          <w:sz w:val="32"/>
          <w:szCs w:val="32"/>
        </w:rPr>
        <w:t>国有资产使用效益</w:t>
      </w:r>
      <w:r>
        <w:rPr>
          <w:rFonts w:hint="eastAsia" w:ascii="仿宋_GB2312" w:hAnsi="仿宋" w:eastAsia="仿宋_GB2312"/>
          <w:color w:val="000000"/>
          <w:sz w:val="32"/>
          <w:szCs w:val="32"/>
        </w:rPr>
        <w:t>稳步</w:t>
      </w:r>
      <w:r>
        <w:rPr>
          <w:rFonts w:ascii="仿宋_GB2312" w:hAnsi="仿宋" w:eastAsia="仿宋_GB2312"/>
          <w:color w:val="000000"/>
          <w:sz w:val="32"/>
          <w:szCs w:val="32"/>
        </w:rPr>
        <w:t>提升。</w:t>
      </w:r>
      <w:r>
        <w:rPr>
          <w:rFonts w:hint="eastAsia" w:ascii="仿宋_GB2312" w:hAnsi="仿宋" w:eastAsia="仿宋_GB2312"/>
          <w:b/>
          <w:color w:val="000000"/>
          <w:sz w:val="32"/>
          <w:szCs w:val="32"/>
        </w:rPr>
        <w:t>三是推进国企改革。</w:t>
      </w:r>
      <w:r>
        <w:rPr>
          <w:rFonts w:hint="eastAsia" w:ascii="仿宋_GB2312" w:hAnsi="仿宋" w:eastAsia="仿宋_GB2312"/>
          <w:color w:val="000000"/>
          <w:sz w:val="32"/>
          <w:szCs w:val="32"/>
        </w:rPr>
        <w:t>深入开展国有企业离退休人员社会化管理改革，向社区移交国企退休人员3587人、退休党员654人，剥离国有企业办社会职能后续工作有序推进。</w:t>
      </w:r>
      <w:r>
        <w:rPr>
          <w:rFonts w:hint="eastAsia" w:ascii="仿宋_GB2312" w:hAnsi="仿宋" w:eastAsia="仿宋_GB2312"/>
          <w:b/>
          <w:color w:val="000000"/>
          <w:sz w:val="32"/>
          <w:szCs w:val="32"/>
        </w:rPr>
        <w:t>四是深化国库改革。</w:t>
      </w:r>
      <w:r>
        <w:rPr>
          <w:rFonts w:hint="eastAsia" w:ascii="仿宋_GB2312" w:hAnsi="仿宋" w:eastAsia="仿宋_GB2312"/>
          <w:color w:val="000000"/>
          <w:sz w:val="32"/>
          <w:szCs w:val="32"/>
        </w:rPr>
        <w:t>在提升国库资金支付管理科学化、规范化水平上狠下功夫，进一步完善预算执行动态监控管理机制，积极筹备国库支付电子化和一体化平台改革，不断提升财政资金管理现代化水平。</w:t>
      </w:r>
      <w:r>
        <w:rPr>
          <w:rFonts w:hint="eastAsia" w:ascii="仿宋_GB2312" w:hAnsi="仿宋" w:eastAsia="仿宋_GB2312"/>
          <w:b/>
          <w:color w:val="000000"/>
          <w:sz w:val="32"/>
          <w:szCs w:val="32"/>
        </w:rPr>
        <w:t>五</w:t>
      </w:r>
      <w:r>
        <w:rPr>
          <w:rFonts w:ascii="仿宋_GB2312" w:hAnsi="仿宋" w:eastAsia="仿宋_GB2312"/>
          <w:b/>
          <w:color w:val="000000"/>
          <w:sz w:val="32"/>
          <w:szCs w:val="32"/>
        </w:rPr>
        <w:t>是</w:t>
      </w:r>
      <w:r>
        <w:rPr>
          <w:rFonts w:hint="eastAsia" w:ascii="仿宋_GB2312" w:hAnsi="仿宋" w:eastAsia="仿宋_GB2312"/>
          <w:b/>
          <w:color w:val="000000"/>
          <w:sz w:val="32"/>
          <w:szCs w:val="32"/>
        </w:rPr>
        <w:t>夯实绩效管理</w:t>
      </w:r>
      <w:r>
        <w:rPr>
          <w:rFonts w:ascii="仿宋_GB2312" w:hAnsi="仿宋" w:eastAsia="仿宋_GB2312"/>
          <w:b/>
          <w:color w:val="000000"/>
          <w:sz w:val="32"/>
          <w:szCs w:val="32"/>
        </w:rPr>
        <w:t>。</w:t>
      </w:r>
      <w:r>
        <w:rPr>
          <w:rFonts w:ascii="仿宋_GB2312" w:eastAsia="仿宋_GB2312"/>
          <w:color w:val="000000"/>
          <w:sz w:val="32"/>
          <w:szCs w:val="32"/>
        </w:rPr>
        <w:t>将</w:t>
      </w:r>
      <w:r>
        <w:rPr>
          <w:rFonts w:ascii="仿宋_GB2312" w:eastAsia="仿宋_GB2312"/>
          <w:sz w:val="32"/>
          <w:szCs w:val="32"/>
        </w:rPr>
        <w:t>绩效理念、要求和方法贯穿预算管理全过程和财政工作各方面，强化绩效目标引领，完善多层次绩效评价体系</w:t>
      </w:r>
      <w:r>
        <w:rPr>
          <w:rFonts w:hint="eastAsia" w:ascii="仿宋_GB2312" w:eastAsia="仿宋_GB2312"/>
          <w:sz w:val="32"/>
          <w:szCs w:val="32"/>
        </w:rPr>
        <w:t>和工作机制，加强评价结果应用，全力推动“以绩效为导向的预算制度改革”向“全面实施预算绩效管理”转变。</w:t>
      </w:r>
      <w:r>
        <w:rPr>
          <w:rFonts w:hint="eastAsia" w:ascii="仿宋_GB2312" w:eastAsia="仿宋_GB2312"/>
          <w:b/>
          <w:sz w:val="32"/>
          <w:szCs w:val="32"/>
        </w:rPr>
        <w:t>六是加强非税管理。</w:t>
      </w:r>
      <w:r>
        <w:rPr>
          <w:rFonts w:hint="eastAsia" w:ascii="仿宋_GB2312" w:eastAsia="仿宋_GB2312"/>
          <w:sz w:val="32"/>
          <w:szCs w:val="32"/>
        </w:rPr>
        <w:t>严格按照省政府确定的时间节点，扎实推进我区非税电子收缴改革，</w:t>
      </w:r>
      <w:r>
        <w:rPr>
          <w:rFonts w:ascii="仿宋_GB2312" w:hAnsi="仿宋" w:eastAsia="仿宋_GB2312"/>
          <w:color w:val="000000"/>
          <w:sz w:val="32"/>
          <w:szCs w:val="32"/>
        </w:rPr>
        <w:t>实现收入全流程一体化管理、集中式控制、电子化收缴、智能化监控，全面提升</w:t>
      </w:r>
      <w:r>
        <w:rPr>
          <w:rFonts w:hint="eastAsia" w:ascii="仿宋_GB2312" w:hAnsi="仿宋" w:eastAsia="仿宋_GB2312"/>
          <w:color w:val="000000"/>
          <w:sz w:val="32"/>
          <w:szCs w:val="32"/>
        </w:rPr>
        <w:t>我区</w:t>
      </w:r>
      <w:r>
        <w:rPr>
          <w:rFonts w:ascii="仿宋_GB2312" w:hAnsi="仿宋" w:eastAsia="仿宋_GB2312"/>
          <w:color w:val="000000"/>
          <w:sz w:val="32"/>
          <w:szCs w:val="32"/>
        </w:rPr>
        <w:t>非税收入收缴管理水平。</w:t>
      </w:r>
    </w:p>
    <w:p>
      <w:pPr>
        <w:pStyle w:val="9"/>
        <w:spacing w:before="0" w:beforeAutospacing="0" w:after="0" w:afterAutospacing="0" w:line="600" w:lineRule="exact"/>
        <w:ind w:firstLine="640" w:firstLineChars="200"/>
        <w:jc w:val="both"/>
        <w:rPr>
          <w:rFonts w:ascii="微软雅黑" w:hAnsi="微软雅黑" w:eastAsia="微软雅黑"/>
          <w:color w:val="000000"/>
          <w:sz w:val="27"/>
          <w:szCs w:val="27"/>
          <w:shd w:val="clear" w:color="auto" w:fill="FFFFFF"/>
        </w:rPr>
      </w:pPr>
      <w:r>
        <w:rPr>
          <w:rFonts w:ascii="仿宋_GB2312" w:hAnsi="仿宋" w:eastAsia="仿宋_GB2312"/>
          <w:sz w:val="32"/>
          <w:szCs w:val="32"/>
        </w:rPr>
        <w:t>2020年，我</w:t>
      </w:r>
      <w:r>
        <w:rPr>
          <w:rFonts w:hint="eastAsia" w:ascii="仿宋_GB2312" w:hAnsi="仿宋" w:eastAsia="仿宋_GB2312"/>
          <w:sz w:val="32"/>
          <w:szCs w:val="32"/>
        </w:rPr>
        <w:t>区</w:t>
      </w:r>
      <w:r>
        <w:rPr>
          <w:rFonts w:ascii="仿宋_GB2312" w:hAnsi="仿宋" w:eastAsia="仿宋_GB2312"/>
          <w:sz w:val="32"/>
          <w:szCs w:val="32"/>
        </w:rPr>
        <w:t>财税工作围绕</w:t>
      </w:r>
      <w:r>
        <w:rPr>
          <w:rFonts w:hint="eastAsia" w:ascii="仿宋_GB2312" w:hAnsi="仿宋" w:eastAsia="仿宋_GB2312"/>
          <w:sz w:val="32"/>
          <w:szCs w:val="32"/>
        </w:rPr>
        <w:t>区委决策</w:t>
      </w:r>
      <w:r>
        <w:rPr>
          <w:rFonts w:ascii="仿宋_GB2312" w:hAnsi="仿宋" w:eastAsia="仿宋_GB2312"/>
          <w:sz w:val="32"/>
          <w:szCs w:val="32"/>
        </w:rPr>
        <w:t>部署，在</w:t>
      </w:r>
      <w:r>
        <w:rPr>
          <w:rFonts w:hint="eastAsia" w:ascii="仿宋_GB2312" w:hAnsi="仿宋" w:eastAsia="仿宋_GB2312"/>
          <w:sz w:val="32"/>
          <w:szCs w:val="32"/>
        </w:rPr>
        <w:t>防疫情、</w:t>
      </w:r>
      <w:r>
        <w:rPr>
          <w:rFonts w:ascii="仿宋_GB2312" w:hAnsi="仿宋" w:eastAsia="仿宋_GB2312"/>
          <w:sz w:val="32"/>
          <w:szCs w:val="32"/>
        </w:rPr>
        <w:t>保稳定、促发展上</w:t>
      </w:r>
      <w:r>
        <w:rPr>
          <w:rFonts w:hint="eastAsia" w:ascii="仿宋_GB2312" w:hAnsi="仿宋" w:eastAsia="仿宋_GB2312"/>
          <w:sz w:val="32"/>
          <w:szCs w:val="32"/>
        </w:rPr>
        <w:t>成效显著，</w:t>
      </w:r>
      <w:r>
        <w:rPr>
          <w:rFonts w:hint="eastAsia" w:ascii="仿宋_GB2312" w:hAnsi="楷体" w:eastAsia="仿宋_GB2312"/>
          <w:color w:val="2B2B2B"/>
          <w:sz w:val="32"/>
          <w:szCs w:val="32"/>
          <w:shd w:val="clear" w:color="auto" w:fill="FFFFFF"/>
        </w:rPr>
        <w:t>财政运行总体平稳，预算执行效果较好，但还存在一些需要解决的问题</w:t>
      </w:r>
      <w:r>
        <w:rPr>
          <w:rFonts w:ascii="仿宋_GB2312" w:hAnsi="仿宋" w:eastAsia="仿宋_GB2312"/>
          <w:sz w:val="32"/>
          <w:szCs w:val="32"/>
        </w:rPr>
        <w:t>。</w:t>
      </w:r>
      <w:r>
        <w:rPr>
          <w:rFonts w:hint="eastAsia" w:ascii="仿宋_GB2312" w:hAnsi="仿宋" w:eastAsia="仿宋_GB2312"/>
          <w:b/>
          <w:sz w:val="32"/>
          <w:szCs w:val="32"/>
        </w:rPr>
        <w:t>一是财政收入增长乏力。</w:t>
      </w:r>
      <w:r>
        <w:rPr>
          <w:rFonts w:hint="eastAsia" w:ascii="仿宋_GB2312" w:hAnsi="仿宋" w:eastAsia="仿宋_GB2312"/>
          <w:sz w:val="32"/>
          <w:szCs w:val="32"/>
        </w:rPr>
        <w:t>受新冠疫情冲击，叠加经济下行、减税降费等多重因素影响，传统支柱税源增长乏力，制造业和现代服务业等新兴税源贡献不足，财政收入中一次性因素占比过高，收入稳定增长缺乏可持续性，紧平衡特征进一步凸显。</w:t>
      </w:r>
      <w:r>
        <w:rPr>
          <w:rFonts w:hint="eastAsia" w:ascii="仿宋_GB2312" w:hAnsi="仿宋" w:eastAsia="仿宋_GB2312"/>
          <w:b/>
          <w:sz w:val="32"/>
          <w:szCs w:val="32"/>
        </w:rPr>
        <w:t>二是财政资金调度紧张。</w:t>
      </w:r>
      <w:r>
        <w:rPr>
          <w:rFonts w:hint="eastAsia" w:ascii="仿宋_GB2312" w:hAnsi="仿宋" w:eastAsia="仿宋_GB2312"/>
          <w:sz w:val="32"/>
          <w:szCs w:val="32"/>
        </w:rPr>
        <w:t>在刚性支出不断加大的同时，我们还要全力支持疫情防控、企业复工复产和经济社会发展等政策实施，更要保障乡村振兴、脱贫攻坚以及污染防治等重点领域需求，财政收支矛盾比以往更为突出。</w:t>
      </w:r>
      <w:r>
        <w:rPr>
          <w:rFonts w:hint="eastAsia" w:ascii="仿宋_GB2312" w:hAnsi="仿宋" w:eastAsia="仿宋_GB2312"/>
          <w:b/>
          <w:sz w:val="32"/>
          <w:szCs w:val="32"/>
        </w:rPr>
        <w:t>三是财政管理还需加强。</w:t>
      </w:r>
      <w:r>
        <w:rPr>
          <w:rFonts w:hint="eastAsia" w:ascii="仿宋_GB2312" w:hAnsi="仿宋" w:eastAsia="仿宋_GB2312"/>
          <w:sz w:val="32"/>
          <w:szCs w:val="32"/>
        </w:rPr>
        <w:t>区乡两级财政事权与支出责任划分改革需要加快推进，预算和绩效一体化改革有待进一步深化，全面建成现代财政制度依然任重道远。针对这些问题，我们将主动作为，采取有效措施，逐步加以解决。同时认真落实区人大对财政预算工作的意见建议，努力提高财政预算管理规范化、科学化、精细化水平。</w:t>
      </w:r>
    </w:p>
    <w:p>
      <w:pPr>
        <w:spacing w:line="600" w:lineRule="exact"/>
        <w:ind w:firstLine="645"/>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2021</w:t>
      </w:r>
      <w:r>
        <w:rPr>
          <w:rFonts w:hint="eastAsia" w:ascii="黑体" w:hAnsi="黑体" w:eastAsia="黑体"/>
          <w:sz w:val="32"/>
          <w:szCs w:val="32"/>
        </w:rPr>
        <w:t>年财政预算（草案）</w:t>
      </w:r>
    </w:p>
    <w:p>
      <w:pPr>
        <w:adjustRightInd w:val="0"/>
        <w:snapToGrid w:val="0"/>
        <w:spacing w:line="600" w:lineRule="exact"/>
        <w:ind w:firstLine="640" w:firstLineChars="200"/>
        <w:rPr>
          <w:rFonts w:ascii="仿宋_GB2312" w:eastAsia="仿宋_GB2312"/>
          <w:color w:val="333333"/>
          <w:sz w:val="32"/>
          <w:szCs w:val="32"/>
        </w:rPr>
      </w:pPr>
      <w:r>
        <w:rPr>
          <w:rFonts w:hint="eastAsia" w:ascii="仿宋_GB2312" w:hAnsi="仿宋" w:eastAsia="仿宋_GB2312"/>
          <w:sz w:val="32"/>
          <w:szCs w:val="32"/>
        </w:rPr>
        <w:t>2021年，全区财政工作的指导思想是：以习近平新时代中国特色社会主义思想为指导，</w:t>
      </w:r>
      <w:r>
        <w:rPr>
          <w:rFonts w:hint="eastAsia" w:ascii="仿宋_GB2312" w:hAnsi="仿宋" w:eastAsia="仿宋_GB2312"/>
          <w:color w:val="000000"/>
          <w:sz w:val="32"/>
          <w:szCs w:val="32"/>
          <w:shd w:val="clear" w:color="auto" w:fill="FFFFFF"/>
        </w:rPr>
        <w:t>全面贯彻党的十九届五中全会精神，</w:t>
      </w:r>
      <w:r>
        <w:rPr>
          <w:rFonts w:hint="eastAsia" w:ascii="仿宋_GB2312" w:eastAsia="仿宋_GB2312"/>
          <w:color w:val="333333"/>
          <w:sz w:val="32"/>
          <w:szCs w:val="32"/>
        </w:rPr>
        <w:t>在疫情防控常态化形势下，坚持稳中求进的工作总基调和新发展理念，提质增效落实积极的财政政策，进一步调整优化财政支出结构；坚持过“紧日子”思想，压减一般性支出，量入为出，量力而行；切实做好“六稳”、“六保”工作；统筹运用财政政策工具，防范财政风险，提升财政管理水平，推动我区经济社会健康稳定发展。</w:t>
      </w:r>
    </w:p>
    <w:p>
      <w:pPr>
        <w:pStyle w:val="9"/>
        <w:widowControl w:val="0"/>
        <w:spacing w:before="0" w:beforeAutospacing="0" w:after="0" w:afterAutospacing="0" w:line="600" w:lineRule="exact"/>
        <w:ind w:firstLine="642" w:firstLineChars="200"/>
        <w:rPr>
          <w:rFonts w:ascii="楷体" w:hAnsi="楷体" w:eastAsia="楷体"/>
          <w:b/>
          <w:sz w:val="32"/>
          <w:szCs w:val="32"/>
        </w:rPr>
      </w:pPr>
      <w:r>
        <w:rPr>
          <w:rFonts w:hint="eastAsia" w:ascii="楷体" w:hAnsi="楷体" w:eastAsia="楷体"/>
          <w:b/>
          <w:sz w:val="32"/>
          <w:szCs w:val="32"/>
        </w:rPr>
        <w:t>（一）一般公共预算</w:t>
      </w:r>
    </w:p>
    <w:p>
      <w:pPr>
        <w:pStyle w:val="9"/>
        <w:widowControl w:val="0"/>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全区一般公共预算收入安排24100万元，剔除上年一次性收入因素后同比增长</w:t>
      </w:r>
      <w:r>
        <w:rPr>
          <w:rFonts w:ascii="仿宋_GB2312" w:hAnsi="仿宋" w:eastAsia="仿宋_GB2312"/>
          <w:sz w:val="32"/>
          <w:szCs w:val="32"/>
        </w:rPr>
        <w:t>5</w:t>
      </w:r>
      <w:r>
        <w:rPr>
          <w:rFonts w:hint="eastAsia" w:ascii="仿宋_GB2312" w:hAnsi="仿宋" w:eastAsia="仿宋_GB2312"/>
          <w:sz w:val="32"/>
          <w:szCs w:val="32"/>
        </w:rPr>
        <w:t>%。其中：税收收入20530万元，非税收入3570万元。加上上级财政转移支付收入2187</w:t>
      </w:r>
      <w:r>
        <w:rPr>
          <w:rFonts w:ascii="仿宋_GB2312" w:hAnsi="仿宋" w:eastAsia="仿宋_GB2312"/>
          <w:sz w:val="32"/>
          <w:szCs w:val="32"/>
        </w:rPr>
        <w:t>2</w:t>
      </w:r>
      <w:r>
        <w:rPr>
          <w:rFonts w:hint="eastAsia" w:ascii="仿宋_GB2312" w:hAnsi="仿宋" w:eastAsia="仿宋_GB2312"/>
          <w:sz w:val="32"/>
          <w:szCs w:val="32"/>
        </w:rPr>
        <w:t>万元、调入资金9770万元，收入总计5574</w:t>
      </w:r>
      <w:r>
        <w:rPr>
          <w:rFonts w:ascii="仿宋_GB2312" w:hAnsi="仿宋" w:eastAsia="仿宋_GB2312"/>
          <w:sz w:val="32"/>
          <w:szCs w:val="32"/>
        </w:rPr>
        <w:t>2</w:t>
      </w:r>
      <w:r>
        <w:rPr>
          <w:rFonts w:hint="eastAsia" w:ascii="仿宋_GB2312" w:hAnsi="仿宋" w:eastAsia="仿宋_GB2312"/>
          <w:sz w:val="32"/>
          <w:szCs w:val="32"/>
        </w:rPr>
        <w:t>万元。一般公共预算支出安排42</w:t>
      </w:r>
      <w:r>
        <w:rPr>
          <w:rFonts w:ascii="仿宋_GB2312" w:hAnsi="仿宋" w:eastAsia="仿宋_GB2312"/>
          <w:sz w:val="32"/>
          <w:szCs w:val="32"/>
        </w:rPr>
        <w:t>701</w:t>
      </w:r>
      <w:r>
        <w:rPr>
          <w:rFonts w:hint="eastAsia" w:ascii="仿宋_GB2312" w:hAnsi="仿宋" w:eastAsia="仿宋_GB2312"/>
          <w:sz w:val="32"/>
          <w:szCs w:val="32"/>
        </w:rPr>
        <w:t>万元，加上上解支出13041万元，支出总计5574</w:t>
      </w:r>
      <w:r>
        <w:rPr>
          <w:rFonts w:ascii="仿宋_GB2312" w:hAnsi="仿宋" w:eastAsia="仿宋_GB2312"/>
          <w:sz w:val="32"/>
          <w:szCs w:val="32"/>
        </w:rPr>
        <w:t>2</w:t>
      </w:r>
      <w:r>
        <w:rPr>
          <w:rFonts w:hint="eastAsia" w:ascii="仿宋_GB2312" w:hAnsi="仿宋" w:eastAsia="仿宋_GB2312"/>
          <w:sz w:val="32"/>
          <w:szCs w:val="32"/>
        </w:rPr>
        <w:t>万元。</w:t>
      </w:r>
    </w:p>
    <w:p>
      <w:pPr>
        <w:pStyle w:val="9"/>
        <w:widowControl w:val="0"/>
        <w:spacing w:before="0" w:beforeAutospacing="0" w:after="0" w:afterAutospacing="0" w:line="600" w:lineRule="exact"/>
        <w:ind w:firstLine="642" w:firstLineChars="200"/>
        <w:rPr>
          <w:rFonts w:ascii="楷体" w:hAnsi="楷体" w:eastAsia="楷体"/>
          <w:b/>
          <w:sz w:val="32"/>
          <w:szCs w:val="32"/>
        </w:rPr>
      </w:pPr>
      <w:r>
        <w:rPr>
          <w:rFonts w:hint="eastAsia" w:ascii="楷体" w:hAnsi="楷体" w:eastAsia="楷体"/>
          <w:b/>
          <w:sz w:val="32"/>
          <w:szCs w:val="32"/>
        </w:rPr>
        <w:t>（二）政府性基金预算</w:t>
      </w:r>
    </w:p>
    <w:p>
      <w:pPr>
        <w:pStyle w:val="9"/>
        <w:widowControl w:val="0"/>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全区政府性基金收入安排7750万元，同比增长</w:t>
      </w:r>
      <w:r>
        <w:rPr>
          <w:rFonts w:ascii="仿宋_GB2312" w:hAnsi="仿宋" w:eastAsia="仿宋_GB2312"/>
          <w:sz w:val="32"/>
          <w:szCs w:val="32"/>
        </w:rPr>
        <w:t>2</w:t>
      </w:r>
      <w:r>
        <w:rPr>
          <w:rFonts w:hint="eastAsia" w:ascii="仿宋_GB2312" w:hAnsi="仿宋" w:eastAsia="仿宋_GB2312"/>
          <w:sz w:val="32"/>
          <w:szCs w:val="32"/>
        </w:rPr>
        <w:t>.9%。政府性基金支出安排1824万元，同比下降</w:t>
      </w:r>
      <w:r>
        <w:rPr>
          <w:rFonts w:ascii="仿宋_GB2312" w:hAnsi="仿宋" w:eastAsia="仿宋_GB2312"/>
          <w:sz w:val="32"/>
          <w:szCs w:val="32"/>
        </w:rPr>
        <w:t>90.7</w:t>
      </w:r>
      <w:r>
        <w:rPr>
          <w:rFonts w:hint="eastAsia" w:ascii="仿宋_GB2312" w:hAnsi="仿宋" w:eastAsia="仿宋_GB2312"/>
          <w:sz w:val="32"/>
          <w:szCs w:val="32"/>
        </w:rPr>
        <w:t>%，加上调出一般公共预算支出5926万元，总支出7750万元。</w:t>
      </w:r>
    </w:p>
    <w:p>
      <w:pPr>
        <w:pStyle w:val="9"/>
        <w:widowControl w:val="0"/>
        <w:spacing w:before="0" w:beforeAutospacing="0" w:after="0" w:afterAutospacing="0" w:line="600" w:lineRule="exact"/>
        <w:ind w:firstLine="642" w:firstLineChars="200"/>
        <w:rPr>
          <w:rFonts w:ascii="楷体" w:hAnsi="楷体" w:eastAsia="楷体"/>
          <w:b/>
          <w:sz w:val="32"/>
          <w:szCs w:val="32"/>
        </w:rPr>
      </w:pPr>
      <w:r>
        <w:rPr>
          <w:rFonts w:hint="eastAsia" w:ascii="楷体" w:hAnsi="楷体" w:eastAsia="楷体"/>
          <w:b/>
          <w:sz w:val="32"/>
          <w:szCs w:val="32"/>
        </w:rPr>
        <w:t>（三）社会保险基金预算</w:t>
      </w:r>
    </w:p>
    <w:p>
      <w:pPr>
        <w:spacing w:line="600" w:lineRule="exact"/>
        <w:ind w:firstLine="646"/>
        <w:rPr>
          <w:rFonts w:ascii="仿宋_GB2312" w:hAnsi="黑体" w:eastAsia="仿宋_GB2312"/>
          <w:sz w:val="32"/>
          <w:szCs w:val="32"/>
        </w:rPr>
      </w:pPr>
      <w:r>
        <w:rPr>
          <w:rFonts w:hint="eastAsia" w:ascii="仿宋_GB2312" w:hAnsi="黑体" w:eastAsia="仿宋_GB2312"/>
          <w:sz w:val="32"/>
          <w:szCs w:val="32"/>
        </w:rPr>
        <w:t>全区社保基金收入安排22394万元，同比增长10.2%。社保基金支出安排18730万元，同比增长5.9%。其中：机关事业养老保险基金收入安排7564万元，同比增长14.7%；机关事业养老保险基金支出安排7564万元，同比增长14.7%。</w:t>
      </w:r>
    </w:p>
    <w:p>
      <w:pPr>
        <w:spacing w:line="600" w:lineRule="exact"/>
        <w:ind w:firstLine="646"/>
        <w:rPr>
          <w:rFonts w:ascii="黑体" w:hAnsi="黑体" w:eastAsia="黑体"/>
          <w:sz w:val="32"/>
          <w:szCs w:val="32"/>
        </w:rPr>
      </w:pPr>
      <w:r>
        <w:rPr>
          <w:rFonts w:hint="eastAsia" w:ascii="黑体" w:hAnsi="黑体" w:eastAsia="黑体"/>
          <w:sz w:val="32"/>
          <w:szCs w:val="32"/>
        </w:rPr>
        <w:t>三、完成202</w:t>
      </w:r>
      <w:r>
        <w:rPr>
          <w:rFonts w:ascii="黑体" w:hAnsi="黑体" w:eastAsia="黑体"/>
          <w:sz w:val="32"/>
          <w:szCs w:val="32"/>
        </w:rPr>
        <w:t>1</w:t>
      </w:r>
      <w:r>
        <w:rPr>
          <w:rFonts w:hint="eastAsia" w:ascii="黑体" w:hAnsi="黑体" w:eastAsia="黑体"/>
          <w:sz w:val="32"/>
          <w:szCs w:val="32"/>
        </w:rPr>
        <w:t>年财政预算的主要措施</w:t>
      </w:r>
    </w:p>
    <w:p>
      <w:pPr>
        <w:spacing w:line="600" w:lineRule="exact"/>
        <w:ind w:firstLine="646"/>
        <w:rPr>
          <w:rFonts w:ascii="楷体" w:hAnsi="楷体" w:eastAsia="楷体"/>
          <w:b/>
          <w:sz w:val="32"/>
          <w:szCs w:val="32"/>
        </w:rPr>
      </w:pPr>
      <w:r>
        <w:rPr>
          <w:rFonts w:hint="eastAsia" w:ascii="楷体" w:hAnsi="楷体" w:eastAsia="楷体"/>
          <w:b/>
          <w:sz w:val="32"/>
          <w:szCs w:val="32"/>
        </w:rPr>
        <w:t>（一）关注生财聚财，着力稳增长、提质量</w:t>
      </w:r>
    </w:p>
    <w:p>
      <w:pPr>
        <w:spacing w:line="600" w:lineRule="exact"/>
        <w:ind w:firstLine="646"/>
        <w:rPr>
          <w:rFonts w:ascii="仿宋_GB2312" w:eastAsia="仿宋_GB2312"/>
          <w:sz w:val="32"/>
          <w:szCs w:val="32"/>
        </w:rPr>
      </w:pPr>
      <w:r>
        <w:rPr>
          <w:rFonts w:hint="eastAsia" w:ascii="仿宋_GB2312" w:eastAsia="仿宋_GB2312"/>
          <w:b/>
          <w:bCs/>
          <w:sz w:val="32"/>
          <w:szCs w:val="32"/>
        </w:rPr>
        <w:t>一是依法加强征管。</w:t>
      </w:r>
      <w:r>
        <w:rPr>
          <w:rFonts w:hint="eastAsia" w:ascii="仿宋_GB2312" w:eastAsia="仿宋_GB2312"/>
          <w:sz w:val="32"/>
          <w:szCs w:val="32"/>
        </w:rPr>
        <w:t>强化财税协同配合，加大依法治税力度，建立综合治税长效机制，提高税源管控能力和税收征管效能，在</w:t>
      </w:r>
      <w:r>
        <w:rPr>
          <w:rFonts w:hint="eastAsia" w:ascii="仿宋_GB2312" w:hAnsi="楷体" w:eastAsia="仿宋_GB2312"/>
          <w:sz w:val="32"/>
          <w:szCs w:val="32"/>
        </w:rPr>
        <w:t>抓紧抓好主体税种、重点税源和行业监控的同时，逐步完善零散税源征管手段和措施，</w:t>
      </w:r>
      <w:r>
        <w:rPr>
          <w:rFonts w:hint="eastAsia" w:ascii="仿宋_GB2312" w:eastAsia="仿宋_GB2312"/>
          <w:sz w:val="32"/>
          <w:szCs w:val="32"/>
        </w:rPr>
        <w:t>有效堵塞收入漏洞，</w:t>
      </w:r>
      <w:r>
        <w:rPr>
          <w:rFonts w:hint="eastAsia" w:ascii="仿宋_GB2312" w:hAnsi="楷体" w:eastAsia="仿宋_GB2312"/>
          <w:sz w:val="32"/>
          <w:szCs w:val="32"/>
        </w:rPr>
        <w:t>确保应收尽收</w:t>
      </w:r>
      <w:r>
        <w:rPr>
          <w:rFonts w:hint="eastAsia" w:ascii="仿宋_GB2312" w:eastAsia="仿宋_GB2312"/>
          <w:sz w:val="32"/>
          <w:szCs w:val="32"/>
        </w:rPr>
        <w:t>。</w:t>
      </w:r>
      <w:r>
        <w:rPr>
          <w:rFonts w:hint="eastAsia" w:ascii="仿宋_GB2312" w:eastAsia="仿宋_GB2312"/>
          <w:b/>
          <w:sz w:val="32"/>
          <w:szCs w:val="32"/>
        </w:rPr>
        <w:t>二是培植财源税源。</w:t>
      </w:r>
      <w:r>
        <w:rPr>
          <w:rFonts w:hint="eastAsia" w:ascii="仿宋_GB2312" w:eastAsia="仿宋_GB2312"/>
          <w:sz w:val="32"/>
          <w:szCs w:val="32"/>
        </w:rPr>
        <w:t>加大扶持资金投入</w:t>
      </w:r>
      <w:r>
        <w:rPr>
          <w:rFonts w:hint="eastAsia" w:ascii="仿宋_GB2312" w:hAnsi="楷体" w:eastAsia="仿宋_GB2312"/>
          <w:sz w:val="32"/>
          <w:szCs w:val="32"/>
        </w:rPr>
        <w:t>，激发传统行业竞争力，形成优势行业集群力，提升骨干企业带动力，着力培育对我区财力贡献大的税源，增加地方可用财力；</w:t>
      </w:r>
      <w:r>
        <w:rPr>
          <w:rFonts w:hint="eastAsia" w:ascii="仿宋_GB2312" w:eastAsia="仿宋_GB2312"/>
          <w:sz w:val="32"/>
          <w:szCs w:val="32"/>
        </w:rPr>
        <w:t>巩固和拓展减税降费成果，通过税收的“减法”，实现财源培植的“加法”和市场活力的“乘法”，用减税降费的“真金白银”帮助企业“轻装上阵”</w:t>
      </w:r>
      <w:r>
        <w:rPr>
          <w:rFonts w:hint="eastAsia" w:ascii="仿宋_GB2312" w:hAnsi="楷体" w:eastAsia="仿宋_GB2312"/>
          <w:sz w:val="32"/>
          <w:szCs w:val="32"/>
        </w:rPr>
        <w:t>。</w:t>
      </w:r>
      <w:r>
        <w:rPr>
          <w:rFonts w:hint="eastAsia" w:ascii="仿宋_GB2312" w:hAnsi="楷体" w:eastAsia="仿宋_GB2312"/>
          <w:b/>
          <w:sz w:val="32"/>
          <w:szCs w:val="32"/>
        </w:rPr>
        <w:t>三</w:t>
      </w:r>
      <w:r>
        <w:rPr>
          <w:rFonts w:hint="eastAsia" w:ascii="仿宋_GB2312" w:eastAsia="仿宋_GB2312"/>
          <w:b/>
          <w:sz w:val="32"/>
          <w:szCs w:val="32"/>
        </w:rPr>
        <w:t>是拓宽融资渠道。</w:t>
      </w:r>
      <w:r>
        <w:rPr>
          <w:rFonts w:hint="eastAsia" w:ascii="仿宋_GB2312" w:eastAsia="仿宋_GB2312"/>
          <w:sz w:val="32"/>
          <w:szCs w:val="32"/>
        </w:rPr>
        <w:t>把握中央扩大专项债券发行规模的政策机遇，建立健全债券项目滚动储备长效机制，积极争取地方政府专项债券及一般债券额度，确保重点建设项目需求；高度关注国家实施减税降费后调整中央与地方收入划分改革推进方案，积极做好区与市、区与乡财政体制测算工作，最大限度争取上级财力补助。</w:t>
      </w:r>
    </w:p>
    <w:p>
      <w:pPr>
        <w:spacing w:line="600" w:lineRule="exact"/>
        <w:ind w:firstLine="646"/>
        <w:rPr>
          <w:rFonts w:ascii="楷体" w:hAnsi="楷体" w:eastAsia="楷体"/>
          <w:b/>
          <w:sz w:val="32"/>
          <w:szCs w:val="32"/>
        </w:rPr>
      </w:pPr>
      <w:r>
        <w:rPr>
          <w:rFonts w:hint="eastAsia" w:ascii="楷体" w:hAnsi="楷体" w:eastAsia="楷体"/>
          <w:b/>
          <w:sz w:val="32"/>
          <w:szCs w:val="32"/>
        </w:rPr>
        <w:t>（二）聚焦理财用财，着力调结构、惠民生</w:t>
      </w:r>
    </w:p>
    <w:p>
      <w:pPr>
        <w:spacing w:line="600" w:lineRule="exact"/>
        <w:ind w:firstLine="645"/>
        <w:rPr>
          <w:rFonts w:ascii="仿宋_GB2312" w:hAnsi="楷体" w:eastAsia="仿宋_GB2312"/>
          <w:bCs/>
          <w:sz w:val="32"/>
          <w:szCs w:val="32"/>
        </w:rPr>
      </w:pPr>
      <w:r>
        <w:rPr>
          <w:rFonts w:eastAsia="仿宋_GB2312" w:cs="Calibri"/>
          <w:sz w:val="32"/>
          <w:szCs w:val="32"/>
        </w:rPr>
        <w:t> </w:t>
      </w:r>
      <w:r>
        <w:rPr>
          <w:rFonts w:hint="eastAsia" w:ascii="仿宋_GB2312" w:hAnsi="楷体" w:eastAsia="仿宋_GB2312"/>
          <w:sz w:val="32"/>
          <w:szCs w:val="32"/>
        </w:rPr>
        <w:t>坚持以人民为中心，在发展中保障和改善民生，不断加大在基本公共服务领域的投入力度，补齐民生短板，促进社会公平正义，增进人民福祉。</w:t>
      </w:r>
      <w:r>
        <w:rPr>
          <w:rFonts w:hint="eastAsia" w:ascii="仿宋_GB2312" w:hAnsi="楷体" w:eastAsia="仿宋_GB2312"/>
          <w:bCs/>
          <w:sz w:val="32"/>
          <w:szCs w:val="32"/>
        </w:rPr>
        <w:t>加大扶贫资金投入力度，完善</w:t>
      </w:r>
      <w:r>
        <w:rPr>
          <w:rFonts w:hint="eastAsia" w:ascii="仿宋_GB2312" w:hAnsi="楷体" w:eastAsia="仿宋_GB2312"/>
          <w:sz w:val="32"/>
          <w:szCs w:val="32"/>
        </w:rPr>
        <w:t>扶贫资金监控和预警体系，提升产业扶贫质量和效益，巩固提升精准脱贫成果；</w:t>
      </w:r>
      <w:r>
        <w:rPr>
          <w:rFonts w:hint="eastAsia" w:ascii="仿宋_GB2312" w:hAnsi="楷体" w:eastAsia="仿宋_GB2312"/>
          <w:bCs/>
          <w:sz w:val="32"/>
          <w:szCs w:val="32"/>
        </w:rPr>
        <w:t>健全突发公共事件财政应急保障体系，完善常态化疫情防控资金保障机制，全力支持疫情防控工作；稳步提高城乡医疗保障、社会救助、抚恤优待等标准，</w:t>
      </w:r>
      <w:r>
        <w:rPr>
          <w:rFonts w:hint="eastAsia" w:ascii="仿宋_GB2312" w:hAnsi="楷体" w:eastAsia="仿宋_GB2312"/>
          <w:sz w:val="32"/>
          <w:szCs w:val="32"/>
        </w:rPr>
        <w:t>做好关键时点困难人群的基本生活保障，确保基本民生特别是困难群众基本生活得到有效改善；推进教育事业发展，加快城乡义务教育一体化建设，加大义务教育软硬件设施投入，持续改善薄弱学校办学条件，完善教育助学资助体系，稳步</w:t>
      </w:r>
      <w:r>
        <w:rPr>
          <w:rFonts w:hint="eastAsia" w:ascii="仿宋_GB2312" w:hAnsi="楷体" w:eastAsia="仿宋_GB2312"/>
          <w:bCs/>
          <w:sz w:val="32"/>
          <w:szCs w:val="32"/>
        </w:rPr>
        <w:t>提高教师队伍待遇水平；支持</w:t>
      </w:r>
      <w:r>
        <w:rPr>
          <w:rFonts w:hint="eastAsia" w:ascii="仿宋_GB2312" w:hAnsi="楷体" w:eastAsia="仿宋_GB2312"/>
          <w:sz w:val="32"/>
          <w:szCs w:val="32"/>
        </w:rPr>
        <w:t>城乡建设，坚持城市发展与</w:t>
      </w:r>
      <w:r>
        <w:rPr>
          <w:rFonts w:hint="eastAsia" w:ascii="仿宋_GB2312" w:hAnsi="楷体" w:eastAsia="仿宋_GB2312"/>
          <w:bCs/>
          <w:sz w:val="32"/>
          <w:szCs w:val="32"/>
        </w:rPr>
        <w:t>乡村振兴统筹并进，发挥优势资源，加快构建现代农业产业体系，补齐高质量发展短板。</w:t>
      </w:r>
    </w:p>
    <w:p>
      <w:pPr>
        <w:spacing w:line="600" w:lineRule="exact"/>
        <w:ind w:firstLine="645"/>
        <w:rPr>
          <w:rFonts w:ascii="楷体" w:hAnsi="楷体" w:eastAsia="楷体"/>
          <w:b/>
          <w:sz w:val="32"/>
          <w:szCs w:val="32"/>
        </w:rPr>
      </w:pPr>
      <w:r>
        <w:rPr>
          <w:rFonts w:hint="eastAsia" w:ascii="楷体" w:hAnsi="楷体" w:eastAsia="楷体"/>
          <w:b/>
          <w:sz w:val="32"/>
          <w:szCs w:val="32"/>
        </w:rPr>
        <w:t>（三）强化改革引领，着力强管理、提效能</w:t>
      </w:r>
    </w:p>
    <w:p>
      <w:pPr>
        <w:spacing w:line="600" w:lineRule="exact"/>
        <w:ind w:firstLine="645"/>
        <w:rPr>
          <w:rFonts w:ascii="仿宋_GB2312" w:eastAsia="仿宋_GB2312"/>
          <w:sz w:val="32"/>
          <w:szCs w:val="32"/>
        </w:rPr>
      </w:pPr>
      <w:r>
        <w:rPr>
          <w:rFonts w:hint="eastAsia" w:ascii="仿宋_GB2312" w:eastAsia="仿宋_GB2312"/>
          <w:sz w:val="32"/>
          <w:szCs w:val="32"/>
        </w:rPr>
        <w:t>持续推进预算管理改革，落实零基预算要求，完善预算支出标准体系建设，促进部门预算编制的科学化和规范化；积极配合省财政部门做好国库支付电子化和一体化改革，加快预算支出进度，进一步清理规范财政专户和预算单位资金账户，保障财政资金安全；全面实施财政票据和非税收入收缴一体化管理改革，统一收缴流程、规范收费目录和票据管理；进一步加大财政资金盘活力度，强化落实结余结转资金定期清理收回制度，提升资金使用效益；深入开展行政事业单位国有资产清查工作，稳步推进单位间资产划转工作，规范国有资产处置管理，加快推进</w:t>
      </w:r>
      <w:r>
        <w:rPr>
          <w:rFonts w:hint="eastAsia" w:ascii="仿宋_GB2312" w:hAnsi="仿宋" w:eastAsia="仿宋_GB2312"/>
          <w:color w:val="000000"/>
          <w:sz w:val="32"/>
          <w:szCs w:val="32"/>
        </w:rPr>
        <w:t>国有企业离退休人员社会化管理改革进程，</w:t>
      </w:r>
      <w:r>
        <w:rPr>
          <w:rFonts w:hint="eastAsia" w:ascii="仿宋_GB2312" w:eastAsia="仿宋_GB2312"/>
          <w:sz w:val="32"/>
          <w:szCs w:val="32"/>
        </w:rPr>
        <w:t>提升国有企业市场竞争力；科学编制项目绩效目标，加强财政资金的跟踪问效,强化绩效结果运用，不断完善预算绩效管理制度。</w:t>
      </w:r>
    </w:p>
    <w:p>
      <w:pPr>
        <w:spacing w:line="600" w:lineRule="exact"/>
        <w:ind w:firstLine="645"/>
        <w:rPr>
          <w:rFonts w:ascii="仿宋" w:hAnsi="仿宋" w:eastAsia="仿宋"/>
          <w:sz w:val="32"/>
          <w:szCs w:val="32"/>
        </w:rPr>
      </w:pPr>
      <w:r>
        <w:rPr>
          <w:rFonts w:hint="eastAsia" w:ascii="仿宋_GB2312" w:eastAsia="仿宋_GB2312"/>
          <w:sz w:val="32"/>
          <w:szCs w:val="32"/>
        </w:rPr>
        <w:t>各位代表，2</w:t>
      </w:r>
      <w:r>
        <w:rPr>
          <w:rFonts w:ascii="仿宋_GB2312" w:eastAsia="仿宋_GB2312"/>
          <w:sz w:val="32"/>
          <w:szCs w:val="32"/>
        </w:rPr>
        <w:t>021</w:t>
      </w:r>
      <w:r>
        <w:rPr>
          <w:rFonts w:hint="eastAsia" w:ascii="仿宋_GB2312" w:eastAsia="仿宋_GB2312"/>
          <w:sz w:val="32"/>
          <w:szCs w:val="32"/>
        </w:rPr>
        <w:t>年是“十四五”规划的开局之年，财政改革发展任务十分艰巨，责任重大。我们将在区委的坚强领导和人大、政协的监督支持下，高举新时代中国特色社会主义伟大旗帜，紧扣财政改革发展的新任务新要求，不忘初心</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rPr>
        <w:t>牢记使命，为推动我区经济社会高质量发展做出更大贡献。</w:t>
      </w:r>
    </w:p>
    <w:sectPr>
      <w:footerReference r:id="rId3" w:type="default"/>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C23"/>
    <w:rsid w:val="00001251"/>
    <w:rsid w:val="00002F9D"/>
    <w:rsid w:val="000053F1"/>
    <w:rsid w:val="00007360"/>
    <w:rsid w:val="00011E29"/>
    <w:rsid w:val="00014B40"/>
    <w:rsid w:val="000155A5"/>
    <w:rsid w:val="00017395"/>
    <w:rsid w:val="00017F8F"/>
    <w:rsid w:val="00020AA6"/>
    <w:rsid w:val="00020B6F"/>
    <w:rsid w:val="00035164"/>
    <w:rsid w:val="0004020A"/>
    <w:rsid w:val="0004264F"/>
    <w:rsid w:val="0005006F"/>
    <w:rsid w:val="00051D27"/>
    <w:rsid w:val="00055B10"/>
    <w:rsid w:val="00057660"/>
    <w:rsid w:val="00057EDD"/>
    <w:rsid w:val="00060F93"/>
    <w:rsid w:val="00067A9F"/>
    <w:rsid w:val="000708B7"/>
    <w:rsid w:val="00071DAA"/>
    <w:rsid w:val="00071EEF"/>
    <w:rsid w:val="000727C1"/>
    <w:rsid w:val="00072A43"/>
    <w:rsid w:val="00072B72"/>
    <w:rsid w:val="00080F4F"/>
    <w:rsid w:val="00084C98"/>
    <w:rsid w:val="000910DD"/>
    <w:rsid w:val="00094F17"/>
    <w:rsid w:val="0009506A"/>
    <w:rsid w:val="000973ED"/>
    <w:rsid w:val="000977DF"/>
    <w:rsid w:val="00097958"/>
    <w:rsid w:val="000A1C77"/>
    <w:rsid w:val="000A31E6"/>
    <w:rsid w:val="000A6532"/>
    <w:rsid w:val="000B110B"/>
    <w:rsid w:val="000B13A5"/>
    <w:rsid w:val="000C03CA"/>
    <w:rsid w:val="000C30B2"/>
    <w:rsid w:val="000D0176"/>
    <w:rsid w:val="000D1C4C"/>
    <w:rsid w:val="000D5E53"/>
    <w:rsid w:val="000D6FD0"/>
    <w:rsid w:val="000E0273"/>
    <w:rsid w:val="000E0ADE"/>
    <w:rsid w:val="000E0BA8"/>
    <w:rsid w:val="000E0EA1"/>
    <w:rsid w:val="000E2104"/>
    <w:rsid w:val="000F0EEE"/>
    <w:rsid w:val="000F4A67"/>
    <w:rsid w:val="001035A1"/>
    <w:rsid w:val="001048AC"/>
    <w:rsid w:val="00132AE3"/>
    <w:rsid w:val="00132B29"/>
    <w:rsid w:val="001351F7"/>
    <w:rsid w:val="00136D4C"/>
    <w:rsid w:val="00142B51"/>
    <w:rsid w:val="00143482"/>
    <w:rsid w:val="00143BFD"/>
    <w:rsid w:val="00144196"/>
    <w:rsid w:val="001445D9"/>
    <w:rsid w:val="00146222"/>
    <w:rsid w:val="001465E9"/>
    <w:rsid w:val="00150302"/>
    <w:rsid w:val="00161E50"/>
    <w:rsid w:val="00164DAA"/>
    <w:rsid w:val="001675D9"/>
    <w:rsid w:val="001779D9"/>
    <w:rsid w:val="00181B80"/>
    <w:rsid w:val="001860E6"/>
    <w:rsid w:val="00190AEC"/>
    <w:rsid w:val="00196C4B"/>
    <w:rsid w:val="001A2857"/>
    <w:rsid w:val="001A392B"/>
    <w:rsid w:val="001A486B"/>
    <w:rsid w:val="001A644F"/>
    <w:rsid w:val="001A6F48"/>
    <w:rsid w:val="001B1958"/>
    <w:rsid w:val="001B4434"/>
    <w:rsid w:val="001C08BA"/>
    <w:rsid w:val="001C0ABD"/>
    <w:rsid w:val="001C524D"/>
    <w:rsid w:val="001D075A"/>
    <w:rsid w:val="001D3570"/>
    <w:rsid w:val="001E1A8A"/>
    <w:rsid w:val="001E42A1"/>
    <w:rsid w:val="001E4D2E"/>
    <w:rsid w:val="001E7251"/>
    <w:rsid w:val="001F21A9"/>
    <w:rsid w:val="001F5E98"/>
    <w:rsid w:val="002035BE"/>
    <w:rsid w:val="00205FC5"/>
    <w:rsid w:val="00207F6E"/>
    <w:rsid w:val="00210D04"/>
    <w:rsid w:val="00211AB2"/>
    <w:rsid w:val="00220820"/>
    <w:rsid w:val="00225A53"/>
    <w:rsid w:val="0023008C"/>
    <w:rsid w:val="00236ACB"/>
    <w:rsid w:val="00237611"/>
    <w:rsid w:val="00237A4F"/>
    <w:rsid w:val="0024135D"/>
    <w:rsid w:val="00243601"/>
    <w:rsid w:val="0024469B"/>
    <w:rsid w:val="00250B13"/>
    <w:rsid w:val="00251CA8"/>
    <w:rsid w:val="00252016"/>
    <w:rsid w:val="002577FD"/>
    <w:rsid w:val="00265D52"/>
    <w:rsid w:val="00270D3F"/>
    <w:rsid w:val="00271388"/>
    <w:rsid w:val="00281CC7"/>
    <w:rsid w:val="002864FF"/>
    <w:rsid w:val="00290041"/>
    <w:rsid w:val="002930F1"/>
    <w:rsid w:val="002A5A8F"/>
    <w:rsid w:val="002A6995"/>
    <w:rsid w:val="002B1FA4"/>
    <w:rsid w:val="002C021D"/>
    <w:rsid w:val="002C06E5"/>
    <w:rsid w:val="002C0983"/>
    <w:rsid w:val="002C0CFF"/>
    <w:rsid w:val="002C61A1"/>
    <w:rsid w:val="002C78C8"/>
    <w:rsid w:val="002D0F00"/>
    <w:rsid w:val="002E4105"/>
    <w:rsid w:val="002F0DDA"/>
    <w:rsid w:val="002F20D1"/>
    <w:rsid w:val="003026B4"/>
    <w:rsid w:val="003053AB"/>
    <w:rsid w:val="00316158"/>
    <w:rsid w:val="00325F94"/>
    <w:rsid w:val="00333843"/>
    <w:rsid w:val="00335CE5"/>
    <w:rsid w:val="003408DE"/>
    <w:rsid w:val="00340917"/>
    <w:rsid w:val="00341044"/>
    <w:rsid w:val="00342416"/>
    <w:rsid w:val="00346DE1"/>
    <w:rsid w:val="00356539"/>
    <w:rsid w:val="003605A3"/>
    <w:rsid w:val="00361AA3"/>
    <w:rsid w:val="00362F00"/>
    <w:rsid w:val="00367DA4"/>
    <w:rsid w:val="00372D11"/>
    <w:rsid w:val="0037625A"/>
    <w:rsid w:val="00376841"/>
    <w:rsid w:val="00377506"/>
    <w:rsid w:val="003801BB"/>
    <w:rsid w:val="003817D1"/>
    <w:rsid w:val="00382DB0"/>
    <w:rsid w:val="0039056A"/>
    <w:rsid w:val="0039149A"/>
    <w:rsid w:val="00396539"/>
    <w:rsid w:val="003A4DDE"/>
    <w:rsid w:val="003B116B"/>
    <w:rsid w:val="003B1975"/>
    <w:rsid w:val="003B302A"/>
    <w:rsid w:val="003C299C"/>
    <w:rsid w:val="003C4D91"/>
    <w:rsid w:val="003D1228"/>
    <w:rsid w:val="003D1C6C"/>
    <w:rsid w:val="003D4B11"/>
    <w:rsid w:val="003D6D31"/>
    <w:rsid w:val="003E49D8"/>
    <w:rsid w:val="003F15D8"/>
    <w:rsid w:val="003F4346"/>
    <w:rsid w:val="003F6419"/>
    <w:rsid w:val="00403807"/>
    <w:rsid w:val="00406018"/>
    <w:rsid w:val="00406521"/>
    <w:rsid w:val="00407C9D"/>
    <w:rsid w:val="004117A1"/>
    <w:rsid w:val="00413953"/>
    <w:rsid w:val="004331A8"/>
    <w:rsid w:val="004403E3"/>
    <w:rsid w:val="00442366"/>
    <w:rsid w:val="00443748"/>
    <w:rsid w:val="004472E0"/>
    <w:rsid w:val="00450479"/>
    <w:rsid w:val="00452D11"/>
    <w:rsid w:val="00453DB0"/>
    <w:rsid w:val="0045585D"/>
    <w:rsid w:val="0046204C"/>
    <w:rsid w:val="00464F22"/>
    <w:rsid w:val="0047093D"/>
    <w:rsid w:val="004721A7"/>
    <w:rsid w:val="004819A2"/>
    <w:rsid w:val="004820EE"/>
    <w:rsid w:val="00482167"/>
    <w:rsid w:val="00483539"/>
    <w:rsid w:val="004918B5"/>
    <w:rsid w:val="00493735"/>
    <w:rsid w:val="00493767"/>
    <w:rsid w:val="00494554"/>
    <w:rsid w:val="004947F9"/>
    <w:rsid w:val="00494835"/>
    <w:rsid w:val="004A490A"/>
    <w:rsid w:val="004A5915"/>
    <w:rsid w:val="004A7D7D"/>
    <w:rsid w:val="004B411C"/>
    <w:rsid w:val="004C1282"/>
    <w:rsid w:val="004C3419"/>
    <w:rsid w:val="004C4E90"/>
    <w:rsid w:val="004C585D"/>
    <w:rsid w:val="004C74F5"/>
    <w:rsid w:val="004D0DB6"/>
    <w:rsid w:val="004D4EEB"/>
    <w:rsid w:val="004D71BA"/>
    <w:rsid w:val="004E7F8D"/>
    <w:rsid w:val="004F6C9A"/>
    <w:rsid w:val="00501992"/>
    <w:rsid w:val="00503274"/>
    <w:rsid w:val="00507F16"/>
    <w:rsid w:val="00516D50"/>
    <w:rsid w:val="00520BC9"/>
    <w:rsid w:val="005253A1"/>
    <w:rsid w:val="00526429"/>
    <w:rsid w:val="00530B64"/>
    <w:rsid w:val="005349AF"/>
    <w:rsid w:val="00541B3B"/>
    <w:rsid w:val="00564C14"/>
    <w:rsid w:val="00565046"/>
    <w:rsid w:val="00571244"/>
    <w:rsid w:val="00572CCF"/>
    <w:rsid w:val="005766B6"/>
    <w:rsid w:val="00583D1C"/>
    <w:rsid w:val="00585A77"/>
    <w:rsid w:val="0059341C"/>
    <w:rsid w:val="00595AA9"/>
    <w:rsid w:val="00596EDC"/>
    <w:rsid w:val="005A2542"/>
    <w:rsid w:val="005A6034"/>
    <w:rsid w:val="005A7B87"/>
    <w:rsid w:val="005B0066"/>
    <w:rsid w:val="005B5BB7"/>
    <w:rsid w:val="005C27AC"/>
    <w:rsid w:val="005D0161"/>
    <w:rsid w:val="005E365A"/>
    <w:rsid w:val="005E3CA9"/>
    <w:rsid w:val="005F029E"/>
    <w:rsid w:val="005F0FB3"/>
    <w:rsid w:val="005F4213"/>
    <w:rsid w:val="005F7CB0"/>
    <w:rsid w:val="006011D7"/>
    <w:rsid w:val="00602677"/>
    <w:rsid w:val="0060550A"/>
    <w:rsid w:val="006077AA"/>
    <w:rsid w:val="00612C5F"/>
    <w:rsid w:val="00613D2A"/>
    <w:rsid w:val="00614667"/>
    <w:rsid w:val="00621729"/>
    <w:rsid w:val="00624C99"/>
    <w:rsid w:val="00624E6A"/>
    <w:rsid w:val="00633F8E"/>
    <w:rsid w:val="00634E1B"/>
    <w:rsid w:val="006426FF"/>
    <w:rsid w:val="00661E90"/>
    <w:rsid w:val="006632C5"/>
    <w:rsid w:val="00666FC7"/>
    <w:rsid w:val="0067231D"/>
    <w:rsid w:val="00672789"/>
    <w:rsid w:val="006727AB"/>
    <w:rsid w:val="00675962"/>
    <w:rsid w:val="00676968"/>
    <w:rsid w:val="006845AF"/>
    <w:rsid w:val="00684836"/>
    <w:rsid w:val="00685AB0"/>
    <w:rsid w:val="00687A39"/>
    <w:rsid w:val="00696D0A"/>
    <w:rsid w:val="006A7F71"/>
    <w:rsid w:val="006B3EC7"/>
    <w:rsid w:val="006B4FAE"/>
    <w:rsid w:val="006C01B3"/>
    <w:rsid w:val="006C1108"/>
    <w:rsid w:val="006C27CE"/>
    <w:rsid w:val="006C37F0"/>
    <w:rsid w:val="006C67D0"/>
    <w:rsid w:val="006C71E4"/>
    <w:rsid w:val="006C7DD6"/>
    <w:rsid w:val="006D14E3"/>
    <w:rsid w:val="006D541C"/>
    <w:rsid w:val="006E3ABF"/>
    <w:rsid w:val="006E55CB"/>
    <w:rsid w:val="006E6443"/>
    <w:rsid w:val="006F1B46"/>
    <w:rsid w:val="006F7D01"/>
    <w:rsid w:val="007014E9"/>
    <w:rsid w:val="007018B1"/>
    <w:rsid w:val="0071481B"/>
    <w:rsid w:val="007175BA"/>
    <w:rsid w:val="00720A3A"/>
    <w:rsid w:val="00720D8E"/>
    <w:rsid w:val="0072653C"/>
    <w:rsid w:val="0073005A"/>
    <w:rsid w:val="00734802"/>
    <w:rsid w:val="00741B55"/>
    <w:rsid w:val="00741E76"/>
    <w:rsid w:val="00745B5E"/>
    <w:rsid w:val="007468B5"/>
    <w:rsid w:val="00753B93"/>
    <w:rsid w:val="007649E8"/>
    <w:rsid w:val="00773599"/>
    <w:rsid w:val="0077713C"/>
    <w:rsid w:val="00777D01"/>
    <w:rsid w:val="00787F7B"/>
    <w:rsid w:val="00792611"/>
    <w:rsid w:val="007A466D"/>
    <w:rsid w:val="007B1CAF"/>
    <w:rsid w:val="007B6A0D"/>
    <w:rsid w:val="007C03C9"/>
    <w:rsid w:val="007C03EF"/>
    <w:rsid w:val="007C1D90"/>
    <w:rsid w:val="007C319F"/>
    <w:rsid w:val="007C5C43"/>
    <w:rsid w:val="007C6D72"/>
    <w:rsid w:val="007D3311"/>
    <w:rsid w:val="007D3D9C"/>
    <w:rsid w:val="007D7CC8"/>
    <w:rsid w:val="007E247E"/>
    <w:rsid w:val="007E262F"/>
    <w:rsid w:val="007E7E93"/>
    <w:rsid w:val="007F1764"/>
    <w:rsid w:val="007F6D50"/>
    <w:rsid w:val="0080548C"/>
    <w:rsid w:val="008063F9"/>
    <w:rsid w:val="0081056A"/>
    <w:rsid w:val="00810D18"/>
    <w:rsid w:val="00812144"/>
    <w:rsid w:val="00812589"/>
    <w:rsid w:val="008145B9"/>
    <w:rsid w:val="00820ACA"/>
    <w:rsid w:val="008211B1"/>
    <w:rsid w:val="00822AE3"/>
    <w:rsid w:val="00824B07"/>
    <w:rsid w:val="00825F00"/>
    <w:rsid w:val="0083052F"/>
    <w:rsid w:val="00834FE7"/>
    <w:rsid w:val="0083695D"/>
    <w:rsid w:val="00841F12"/>
    <w:rsid w:val="00844CD5"/>
    <w:rsid w:val="0085287C"/>
    <w:rsid w:val="00860A12"/>
    <w:rsid w:val="00862490"/>
    <w:rsid w:val="00880AEF"/>
    <w:rsid w:val="008816A8"/>
    <w:rsid w:val="00884BCA"/>
    <w:rsid w:val="00892653"/>
    <w:rsid w:val="00892ABA"/>
    <w:rsid w:val="00893783"/>
    <w:rsid w:val="00896CFE"/>
    <w:rsid w:val="008A28C3"/>
    <w:rsid w:val="008A6312"/>
    <w:rsid w:val="008A650E"/>
    <w:rsid w:val="008A74FD"/>
    <w:rsid w:val="008A793E"/>
    <w:rsid w:val="008B3542"/>
    <w:rsid w:val="008B663D"/>
    <w:rsid w:val="008B7285"/>
    <w:rsid w:val="008C0968"/>
    <w:rsid w:val="008C4F32"/>
    <w:rsid w:val="008C73CD"/>
    <w:rsid w:val="008D38A7"/>
    <w:rsid w:val="008D4067"/>
    <w:rsid w:val="008E0E45"/>
    <w:rsid w:val="008E2D66"/>
    <w:rsid w:val="008E49B5"/>
    <w:rsid w:val="008F0D52"/>
    <w:rsid w:val="008F327C"/>
    <w:rsid w:val="008F3CBF"/>
    <w:rsid w:val="00900B38"/>
    <w:rsid w:val="00905909"/>
    <w:rsid w:val="00915A39"/>
    <w:rsid w:val="0091709E"/>
    <w:rsid w:val="009170DE"/>
    <w:rsid w:val="00925D6D"/>
    <w:rsid w:val="009316E8"/>
    <w:rsid w:val="00932E04"/>
    <w:rsid w:val="0093598C"/>
    <w:rsid w:val="00935D98"/>
    <w:rsid w:val="00937DBB"/>
    <w:rsid w:val="00941EA6"/>
    <w:rsid w:val="00943C4D"/>
    <w:rsid w:val="00943F47"/>
    <w:rsid w:val="00950C71"/>
    <w:rsid w:val="00960204"/>
    <w:rsid w:val="009603D9"/>
    <w:rsid w:val="00963A84"/>
    <w:rsid w:val="009646BC"/>
    <w:rsid w:val="00964986"/>
    <w:rsid w:val="0098151C"/>
    <w:rsid w:val="009A5338"/>
    <w:rsid w:val="009B07A8"/>
    <w:rsid w:val="009B4FA6"/>
    <w:rsid w:val="009B6B79"/>
    <w:rsid w:val="009B7EE3"/>
    <w:rsid w:val="009C2ED7"/>
    <w:rsid w:val="009C5C23"/>
    <w:rsid w:val="009D0058"/>
    <w:rsid w:val="009D1132"/>
    <w:rsid w:val="009D22A7"/>
    <w:rsid w:val="009D31F5"/>
    <w:rsid w:val="009D45AD"/>
    <w:rsid w:val="009D63EF"/>
    <w:rsid w:val="009E2A43"/>
    <w:rsid w:val="009E5239"/>
    <w:rsid w:val="009F11F5"/>
    <w:rsid w:val="009F4B5B"/>
    <w:rsid w:val="009F6704"/>
    <w:rsid w:val="00A00101"/>
    <w:rsid w:val="00A02C7A"/>
    <w:rsid w:val="00A14E67"/>
    <w:rsid w:val="00A1680A"/>
    <w:rsid w:val="00A206C7"/>
    <w:rsid w:val="00A42675"/>
    <w:rsid w:val="00A43BF4"/>
    <w:rsid w:val="00A44D43"/>
    <w:rsid w:val="00A54DF1"/>
    <w:rsid w:val="00A61352"/>
    <w:rsid w:val="00A622A6"/>
    <w:rsid w:val="00A714B7"/>
    <w:rsid w:val="00A76FF9"/>
    <w:rsid w:val="00A775C5"/>
    <w:rsid w:val="00A8178F"/>
    <w:rsid w:val="00A83ADE"/>
    <w:rsid w:val="00A90634"/>
    <w:rsid w:val="00A93707"/>
    <w:rsid w:val="00A9534F"/>
    <w:rsid w:val="00AB00DB"/>
    <w:rsid w:val="00AB4955"/>
    <w:rsid w:val="00AB600D"/>
    <w:rsid w:val="00AB7733"/>
    <w:rsid w:val="00AC2892"/>
    <w:rsid w:val="00AE1A9B"/>
    <w:rsid w:val="00AE4EDC"/>
    <w:rsid w:val="00AF44BD"/>
    <w:rsid w:val="00B064C5"/>
    <w:rsid w:val="00B066BE"/>
    <w:rsid w:val="00B129EE"/>
    <w:rsid w:val="00B131B8"/>
    <w:rsid w:val="00B13387"/>
    <w:rsid w:val="00B205B3"/>
    <w:rsid w:val="00B228E7"/>
    <w:rsid w:val="00B23505"/>
    <w:rsid w:val="00B265D2"/>
    <w:rsid w:val="00B304E4"/>
    <w:rsid w:val="00B31DCE"/>
    <w:rsid w:val="00B333C5"/>
    <w:rsid w:val="00B421B3"/>
    <w:rsid w:val="00B43CB7"/>
    <w:rsid w:val="00B5081F"/>
    <w:rsid w:val="00B52F26"/>
    <w:rsid w:val="00B5484E"/>
    <w:rsid w:val="00B54C56"/>
    <w:rsid w:val="00B600DD"/>
    <w:rsid w:val="00B61CAD"/>
    <w:rsid w:val="00B62D1E"/>
    <w:rsid w:val="00B63765"/>
    <w:rsid w:val="00B74476"/>
    <w:rsid w:val="00B747BA"/>
    <w:rsid w:val="00B7779E"/>
    <w:rsid w:val="00B86760"/>
    <w:rsid w:val="00B95AFC"/>
    <w:rsid w:val="00B96082"/>
    <w:rsid w:val="00BA1315"/>
    <w:rsid w:val="00BB07C1"/>
    <w:rsid w:val="00BB7D8F"/>
    <w:rsid w:val="00BC3522"/>
    <w:rsid w:val="00BC5720"/>
    <w:rsid w:val="00BC6A0B"/>
    <w:rsid w:val="00BD41BC"/>
    <w:rsid w:val="00BE00C9"/>
    <w:rsid w:val="00BE4AED"/>
    <w:rsid w:val="00BE6F5C"/>
    <w:rsid w:val="00BE72EF"/>
    <w:rsid w:val="00BF50F6"/>
    <w:rsid w:val="00BF7AEC"/>
    <w:rsid w:val="00BF7FC0"/>
    <w:rsid w:val="00C04BAF"/>
    <w:rsid w:val="00C04CD3"/>
    <w:rsid w:val="00C071E5"/>
    <w:rsid w:val="00C11936"/>
    <w:rsid w:val="00C1268B"/>
    <w:rsid w:val="00C22614"/>
    <w:rsid w:val="00C255AA"/>
    <w:rsid w:val="00C25C2B"/>
    <w:rsid w:val="00C31B78"/>
    <w:rsid w:val="00C3375C"/>
    <w:rsid w:val="00C35702"/>
    <w:rsid w:val="00C37E81"/>
    <w:rsid w:val="00C40F11"/>
    <w:rsid w:val="00C41EA6"/>
    <w:rsid w:val="00C42C23"/>
    <w:rsid w:val="00C435A8"/>
    <w:rsid w:val="00C51520"/>
    <w:rsid w:val="00C52C7A"/>
    <w:rsid w:val="00C60F3C"/>
    <w:rsid w:val="00C7417A"/>
    <w:rsid w:val="00C744ED"/>
    <w:rsid w:val="00C76B27"/>
    <w:rsid w:val="00C82E9E"/>
    <w:rsid w:val="00C858A5"/>
    <w:rsid w:val="00C87B5E"/>
    <w:rsid w:val="00C94FD7"/>
    <w:rsid w:val="00C96A24"/>
    <w:rsid w:val="00CA0ED6"/>
    <w:rsid w:val="00CA1B2F"/>
    <w:rsid w:val="00CA3293"/>
    <w:rsid w:val="00CB6B3C"/>
    <w:rsid w:val="00CC03CF"/>
    <w:rsid w:val="00CC188A"/>
    <w:rsid w:val="00CC3BE2"/>
    <w:rsid w:val="00CC54DE"/>
    <w:rsid w:val="00CE5A9F"/>
    <w:rsid w:val="00CE7CC0"/>
    <w:rsid w:val="00CF2188"/>
    <w:rsid w:val="00CF4B4F"/>
    <w:rsid w:val="00CF7A03"/>
    <w:rsid w:val="00D00592"/>
    <w:rsid w:val="00D01544"/>
    <w:rsid w:val="00D11C2F"/>
    <w:rsid w:val="00D13263"/>
    <w:rsid w:val="00D13D96"/>
    <w:rsid w:val="00D242E2"/>
    <w:rsid w:val="00D35949"/>
    <w:rsid w:val="00D35D0D"/>
    <w:rsid w:val="00D36EE9"/>
    <w:rsid w:val="00D42E4A"/>
    <w:rsid w:val="00D44580"/>
    <w:rsid w:val="00D509E5"/>
    <w:rsid w:val="00D52EFA"/>
    <w:rsid w:val="00D56011"/>
    <w:rsid w:val="00D62433"/>
    <w:rsid w:val="00D731ED"/>
    <w:rsid w:val="00D739EA"/>
    <w:rsid w:val="00D76052"/>
    <w:rsid w:val="00D77032"/>
    <w:rsid w:val="00D77183"/>
    <w:rsid w:val="00D85D94"/>
    <w:rsid w:val="00D91404"/>
    <w:rsid w:val="00D94427"/>
    <w:rsid w:val="00D956DE"/>
    <w:rsid w:val="00DA2EFD"/>
    <w:rsid w:val="00DB4DA3"/>
    <w:rsid w:val="00DD4604"/>
    <w:rsid w:val="00DD4DB1"/>
    <w:rsid w:val="00DD6D38"/>
    <w:rsid w:val="00DE02A5"/>
    <w:rsid w:val="00DE034C"/>
    <w:rsid w:val="00DE51D7"/>
    <w:rsid w:val="00DF223C"/>
    <w:rsid w:val="00DF3E60"/>
    <w:rsid w:val="00E02B2E"/>
    <w:rsid w:val="00E037FC"/>
    <w:rsid w:val="00E116D6"/>
    <w:rsid w:val="00E130F0"/>
    <w:rsid w:val="00E14ECA"/>
    <w:rsid w:val="00E167D3"/>
    <w:rsid w:val="00E30545"/>
    <w:rsid w:val="00E3410B"/>
    <w:rsid w:val="00E35169"/>
    <w:rsid w:val="00E379A6"/>
    <w:rsid w:val="00E4181C"/>
    <w:rsid w:val="00E41D61"/>
    <w:rsid w:val="00E447EA"/>
    <w:rsid w:val="00E554F1"/>
    <w:rsid w:val="00E567C8"/>
    <w:rsid w:val="00E643B9"/>
    <w:rsid w:val="00E72F4D"/>
    <w:rsid w:val="00E739B9"/>
    <w:rsid w:val="00E74E6F"/>
    <w:rsid w:val="00E764FE"/>
    <w:rsid w:val="00E8047E"/>
    <w:rsid w:val="00E81C95"/>
    <w:rsid w:val="00E8387B"/>
    <w:rsid w:val="00E8648A"/>
    <w:rsid w:val="00E8759A"/>
    <w:rsid w:val="00E95B67"/>
    <w:rsid w:val="00EA3301"/>
    <w:rsid w:val="00EA70F3"/>
    <w:rsid w:val="00EA7195"/>
    <w:rsid w:val="00EB4E38"/>
    <w:rsid w:val="00EB58CD"/>
    <w:rsid w:val="00EC34F2"/>
    <w:rsid w:val="00EC364E"/>
    <w:rsid w:val="00EC6C26"/>
    <w:rsid w:val="00EC6C84"/>
    <w:rsid w:val="00ED2977"/>
    <w:rsid w:val="00EE0B64"/>
    <w:rsid w:val="00EE1972"/>
    <w:rsid w:val="00EE318A"/>
    <w:rsid w:val="00EE528F"/>
    <w:rsid w:val="00EE69F5"/>
    <w:rsid w:val="00EF2D4E"/>
    <w:rsid w:val="00EF3C9B"/>
    <w:rsid w:val="00F00FB5"/>
    <w:rsid w:val="00F0183F"/>
    <w:rsid w:val="00F057A3"/>
    <w:rsid w:val="00F06920"/>
    <w:rsid w:val="00F14F82"/>
    <w:rsid w:val="00F176DE"/>
    <w:rsid w:val="00F32C01"/>
    <w:rsid w:val="00F46B56"/>
    <w:rsid w:val="00F55E1F"/>
    <w:rsid w:val="00F60CDA"/>
    <w:rsid w:val="00F61060"/>
    <w:rsid w:val="00F6271B"/>
    <w:rsid w:val="00F64070"/>
    <w:rsid w:val="00F65A73"/>
    <w:rsid w:val="00F65E2A"/>
    <w:rsid w:val="00F66070"/>
    <w:rsid w:val="00F70AB8"/>
    <w:rsid w:val="00F72B4F"/>
    <w:rsid w:val="00F72C49"/>
    <w:rsid w:val="00F77DE3"/>
    <w:rsid w:val="00F80086"/>
    <w:rsid w:val="00F8296B"/>
    <w:rsid w:val="00F8682F"/>
    <w:rsid w:val="00F95916"/>
    <w:rsid w:val="00FA50C0"/>
    <w:rsid w:val="00FA6709"/>
    <w:rsid w:val="00FA757A"/>
    <w:rsid w:val="00FA77A4"/>
    <w:rsid w:val="00FB0859"/>
    <w:rsid w:val="00FB2378"/>
    <w:rsid w:val="00FB3212"/>
    <w:rsid w:val="00FD01E7"/>
    <w:rsid w:val="00FE0762"/>
    <w:rsid w:val="00FE5FCE"/>
    <w:rsid w:val="00FF0A87"/>
    <w:rsid w:val="00FF2483"/>
    <w:rsid w:val="00FF4BCF"/>
    <w:rsid w:val="00FF565C"/>
    <w:rsid w:val="6DF848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24"/>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qFormat/>
    <w:uiPriority w:val="99"/>
    <w:pPr>
      <w:jc w:val="left"/>
    </w:pPr>
  </w:style>
  <w:style w:type="paragraph" w:styleId="4">
    <w:name w:val="Body Text"/>
    <w:basedOn w:val="1"/>
    <w:link w:val="23"/>
    <w:qFormat/>
    <w:uiPriority w:val="99"/>
    <w:pPr>
      <w:widowControl/>
      <w:jc w:val="left"/>
    </w:pPr>
    <w:rPr>
      <w:rFonts w:ascii="仿宋_GB2312" w:hAnsi="Times New Roman" w:eastAsia="仿宋_GB2312"/>
      <w:kern w:val="0"/>
      <w:sz w:val="30"/>
      <w:szCs w:val="20"/>
    </w:rPr>
  </w:style>
  <w:style w:type="paragraph" w:styleId="5">
    <w:name w:val="Date"/>
    <w:basedOn w:val="1"/>
    <w:next w:val="1"/>
    <w:link w:val="22"/>
    <w:semiHidden/>
    <w:qFormat/>
    <w:uiPriority w:val="99"/>
    <w:pPr>
      <w:ind w:left="100" w:leftChars="2500"/>
    </w:pPr>
  </w:style>
  <w:style w:type="paragraph" w:styleId="6">
    <w:name w:val="Balloon Text"/>
    <w:basedOn w:val="1"/>
    <w:link w:val="21"/>
    <w:semiHidden/>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0"/>
    <w:semiHidden/>
    <w:qFormat/>
    <w:uiPriority w:val="99"/>
    <w:rPr>
      <w:b/>
      <w:bCs/>
    </w:rPr>
  </w:style>
  <w:style w:type="character" w:styleId="13">
    <w:name w:val="Strong"/>
    <w:qFormat/>
    <w:locked/>
    <w:uiPriority w:val="22"/>
    <w:rPr>
      <w:b/>
      <w:bCs/>
    </w:rPr>
  </w:style>
  <w:style w:type="character" w:styleId="14">
    <w:name w:val="Emphasis"/>
    <w:qFormat/>
    <w:locked/>
    <w:uiPriority w:val="20"/>
    <w:rPr>
      <w:i/>
      <w:iCs/>
    </w:rPr>
  </w:style>
  <w:style w:type="character" w:styleId="15">
    <w:name w:val="Hyperlink"/>
    <w:semiHidden/>
    <w:unhideWhenUsed/>
    <w:qFormat/>
    <w:uiPriority w:val="99"/>
    <w:rPr>
      <w:color w:val="0000FF"/>
      <w:u w:val="single"/>
    </w:rPr>
  </w:style>
  <w:style w:type="character" w:styleId="16">
    <w:name w:val="annotation reference"/>
    <w:semiHidden/>
    <w:qFormat/>
    <w:uiPriority w:val="99"/>
    <w:rPr>
      <w:rFonts w:cs="Times New Roman"/>
      <w:sz w:val="21"/>
      <w:szCs w:val="21"/>
    </w:rPr>
  </w:style>
  <w:style w:type="character" w:customStyle="1" w:styleId="17">
    <w:name w:val="页眉 字符"/>
    <w:link w:val="8"/>
    <w:semiHidden/>
    <w:qFormat/>
    <w:locked/>
    <w:uiPriority w:val="99"/>
    <w:rPr>
      <w:rFonts w:cs="Times New Roman"/>
      <w:sz w:val="18"/>
      <w:szCs w:val="18"/>
    </w:rPr>
  </w:style>
  <w:style w:type="character" w:customStyle="1" w:styleId="18">
    <w:name w:val="页脚 字符"/>
    <w:link w:val="7"/>
    <w:qFormat/>
    <w:locked/>
    <w:uiPriority w:val="99"/>
    <w:rPr>
      <w:rFonts w:cs="Times New Roman"/>
      <w:sz w:val="18"/>
      <w:szCs w:val="18"/>
    </w:rPr>
  </w:style>
  <w:style w:type="character" w:customStyle="1" w:styleId="19">
    <w:name w:val="批注文字 字符"/>
    <w:link w:val="3"/>
    <w:semiHidden/>
    <w:qFormat/>
    <w:locked/>
    <w:uiPriority w:val="99"/>
    <w:rPr>
      <w:rFonts w:cs="Times New Roman"/>
    </w:rPr>
  </w:style>
  <w:style w:type="character" w:customStyle="1" w:styleId="20">
    <w:name w:val="批注主题 字符"/>
    <w:link w:val="10"/>
    <w:semiHidden/>
    <w:qFormat/>
    <w:locked/>
    <w:uiPriority w:val="99"/>
    <w:rPr>
      <w:rFonts w:cs="Times New Roman"/>
      <w:b/>
      <w:bCs/>
    </w:rPr>
  </w:style>
  <w:style w:type="character" w:customStyle="1" w:styleId="21">
    <w:name w:val="批注框文本 字符"/>
    <w:link w:val="6"/>
    <w:semiHidden/>
    <w:qFormat/>
    <w:locked/>
    <w:uiPriority w:val="99"/>
    <w:rPr>
      <w:rFonts w:cs="Times New Roman"/>
      <w:sz w:val="18"/>
      <w:szCs w:val="18"/>
    </w:rPr>
  </w:style>
  <w:style w:type="character" w:customStyle="1" w:styleId="22">
    <w:name w:val="日期 字符"/>
    <w:link w:val="5"/>
    <w:semiHidden/>
    <w:qFormat/>
    <w:locked/>
    <w:uiPriority w:val="99"/>
    <w:rPr>
      <w:rFonts w:cs="Times New Roman"/>
    </w:rPr>
  </w:style>
  <w:style w:type="character" w:customStyle="1" w:styleId="23">
    <w:name w:val="正文文本 字符"/>
    <w:link w:val="4"/>
    <w:qFormat/>
    <w:locked/>
    <w:uiPriority w:val="99"/>
    <w:rPr>
      <w:rFonts w:ascii="仿宋_GB2312" w:hAnsi="Times New Roman" w:eastAsia="仿宋_GB2312" w:cs="Times New Roman"/>
      <w:kern w:val="0"/>
      <w:sz w:val="20"/>
      <w:szCs w:val="20"/>
    </w:rPr>
  </w:style>
  <w:style w:type="character" w:customStyle="1" w:styleId="24">
    <w:name w:val="标题 3 字符"/>
    <w:link w:val="2"/>
    <w:qFormat/>
    <w:uiPriority w:val="9"/>
    <w:rPr>
      <w:rFonts w:ascii="宋体" w:hAnsi="宋体" w:cs="宋体"/>
      <w:b/>
      <w:bCs/>
      <w:kern w:val="0"/>
      <w:sz w:val="27"/>
      <w:szCs w:val="27"/>
    </w:rPr>
  </w:style>
  <w:style w:type="paragraph" w:customStyle="1" w:styleId="25">
    <w:name w:val="p0"/>
    <w:basedOn w:val="1"/>
    <w:qFormat/>
    <w:uiPriority w:val="0"/>
    <w:pPr>
      <w:widowControl/>
    </w:pPr>
    <w:rPr>
      <w:rFonts w:ascii="Times New Roman" w:hAnsi="Times New Roman"/>
      <w:kern w:val="0"/>
      <w:szCs w:val="21"/>
    </w:rPr>
  </w:style>
  <w:style w:type="paragraph" w:customStyle="1" w:styleId="26">
    <w:name w:val="Char Char Char Char"/>
    <w:basedOn w:val="1"/>
    <w:qFormat/>
    <w:uiPriority w:val="0"/>
    <w:pPr>
      <w:adjustRightInd w:val="0"/>
      <w:spacing w:line="312" w:lineRule="atLeast"/>
    </w:pPr>
    <w:rPr>
      <w:rFonts w:ascii="Times New Roman" w:hAnsi="Times New Roman"/>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czj</Company>
  <Pages>8</Pages>
  <Words>704</Words>
  <Characters>4019</Characters>
  <Lines>33</Lines>
  <Paragraphs>9</Paragraphs>
  <TotalTime>10769</TotalTime>
  <ScaleCrop>false</ScaleCrop>
  <LinksUpToDate>false</LinksUpToDate>
  <CharactersWithSpaces>4714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2019-09-18T08:22:00Z</dcterms:created>
  <dc:creator>liuxin</dc:creator>
  <cp:lastModifiedBy>user</cp:lastModifiedBy>
  <cp:lastPrinted>2020-12-16T11:16:00Z</cp:lastPrinted>
  <dcterms:modified xsi:type="dcterms:W3CDTF">2023-02-16T16:00:43Z</dcterms:modified>
  <cp:revision>408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