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19"/>
      <w:r>
        <w:rPr>
          <w:rFonts w:hint="eastAsia" w:ascii="方正小标宋_GBK" w:hAnsi="方正小标宋_GBK" w:eastAsia="方正小标宋_GBK"/>
          <w:b w:val="0"/>
          <w:bCs w:val="0"/>
          <w:sz w:val="30"/>
        </w:rPr>
        <w:t>农村危房改造领域基层政务公开标准目录</w:t>
      </w:r>
    </w:p>
    <w:bookmarkEnd w:id="0"/>
    <w:tbl>
      <w:tblPr>
        <w:tblStyle w:val="5"/>
        <w:tblW w:w="159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65"/>
        <w:gridCol w:w="261"/>
        <w:gridCol w:w="545"/>
        <w:gridCol w:w="892"/>
        <w:gridCol w:w="2008"/>
        <w:gridCol w:w="3662"/>
        <w:gridCol w:w="1276"/>
        <w:gridCol w:w="1559"/>
        <w:gridCol w:w="1684"/>
        <w:gridCol w:w="574"/>
        <w:gridCol w:w="575"/>
        <w:gridCol w:w="574"/>
        <w:gridCol w:w="718"/>
        <w:gridCol w:w="574"/>
        <w:gridCol w:w="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 w:hRule="atLeast"/>
          <w:jc w:val="center"/>
        </w:trPr>
        <w:tc>
          <w:tcPr>
            <w:tcW w:w="565" w:type="dxa"/>
            <w:vMerge w:val="restart"/>
            <w:shd w:val="clear" w:color="auto" w:fill="auto"/>
            <w:vAlign w:val="center"/>
          </w:tcPr>
          <w:p>
            <w:pPr>
              <w:widowControl/>
              <w:spacing w:line="240" w:lineRule="exact"/>
              <w:jc w:val="center"/>
              <w:rPr>
                <w:rFonts w:ascii="Times New Roman" w:hAnsi="Times New Roman"/>
                <w:color w:val="000000"/>
                <w:kern w:val="0"/>
                <w:sz w:val="22"/>
              </w:rPr>
            </w:pPr>
            <w:r>
              <w:rPr>
                <w:rFonts w:ascii="Times New Roman" w:hAnsi="宋体"/>
                <w:color w:val="000000"/>
                <w:kern w:val="0"/>
                <w:sz w:val="22"/>
              </w:rPr>
              <w:t>序号</w:t>
            </w:r>
          </w:p>
        </w:tc>
        <w:tc>
          <w:tcPr>
            <w:tcW w:w="261" w:type="dxa"/>
            <w:vMerge w:val="restart"/>
            <w:vAlign w:val="center"/>
          </w:tcPr>
          <w:p>
            <w:pPr>
              <w:widowControl/>
              <w:spacing w:line="240" w:lineRule="exact"/>
              <w:jc w:val="center"/>
              <w:rPr>
                <w:rFonts w:ascii="黑体" w:hAnsi="宋体" w:eastAsia="黑体" w:cs="宋体"/>
                <w:color w:val="000000"/>
                <w:kern w:val="0"/>
                <w:sz w:val="22"/>
              </w:rPr>
            </w:pPr>
            <w:r>
              <w:rPr>
                <w:rFonts w:hint="eastAsia" w:ascii="黑体" w:hAnsi="宋体" w:eastAsia="黑体" w:cs="宋体"/>
                <w:color w:val="000000"/>
                <w:kern w:val="0"/>
                <w:sz w:val="22"/>
              </w:rPr>
              <w:t>过程</w:t>
            </w:r>
          </w:p>
        </w:tc>
        <w:tc>
          <w:tcPr>
            <w:tcW w:w="1437" w:type="dxa"/>
            <w:gridSpan w:val="2"/>
            <w:shd w:val="clear" w:color="auto" w:fill="auto"/>
            <w:vAlign w:val="center"/>
          </w:tcPr>
          <w:p>
            <w:pPr>
              <w:widowControl/>
              <w:spacing w:line="240" w:lineRule="exact"/>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008" w:type="dxa"/>
            <w:vMerge w:val="restart"/>
            <w:shd w:val="clear" w:color="auto" w:fill="auto"/>
            <w:vAlign w:val="center"/>
          </w:tcPr>
          <w:p>
            <w:pPr>
              <w:widowControl/>
              <w:spacing w:line="240" w:lineRule="exact"/>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3662" w:type="dxa"/>
            <w:vMerge w:val="restart"/>
            <w:shd w:val="clear" w:color="auto" w:fill="auto"/>
            <w:vAlign w:val="center"/>
          </w:tcPr>
          <w:p>
            <w:pPr>
              <w:widowControl/>
              <w:spacing w:line="240" w:lineRule="exact"/>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76" w:type="dxa"/>
            <w:vMerge w:val="restart"/>
            <w:shd w:val="clear" w:color="auto" w:fill="auto"/>
            <w:vAlign w:val="center"/>
          </w:tcPr>
          <w:p>
            <w:pPr>
              <w:widowControl/>
              <w:spacing w:line="240" w:lineRule="exact"/>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559" w:type="dxa"/>
            <w:vMerge w:val="restart"/>
            <w:shd w:val="clear" w:color="auto" w:fill="auto"/>
            <w:vAlign w:val="center"/>
          </w:tcPr>
          <w:p>
            <w:pPr>
              <w:widowControl/>
              <w:spacing w:line="240" w:lineRule="exact"/>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684" w:type="dxa"/>
            <w:vMerge w:val="restart"/>
            <w:shd w:val="clear" w:color="auto" w:fill="auto"/>
            <w:vAlign w:val="center"/>
          </w:tcPr>
          <w:p>
            <w:pPr>
              <w:widowControl/>
              <w:spacing w:line="240" w:lineRule="exact"/>
              <w:jc w:val="center"/>
              <w:rPr>
                <w:rFonts w:ascii="黑体" w:hAnsi="宋体" w:eastAsia="黑体" w:cs="宋体"/>
                <w:kern w:val="0"/>
                <w:sz w:val="22"/>
              </w:rPr>
            </w:pPr>
            <w:r>
              <w:rPr>
                <w:rFonts w:hint="eastAsia" w:ascii="黑体" w:hAnsi="宋体" w:eastAsia="黑体" w:cs="宋体"/>
                <w:kern w:val="0"/>
                <w:sz w:val="22"/>
              </w:rPr>
              <w:t>公开渠道和载体</w:t>
            </w:r>
          </w:p>
        </w:tc>
        <w:tc>
          <w:tcPr>
            <w:tcW w:w="1149" w:type="dxa"/>
            <w:gridSpan w:val="2"/>
            <w:shd w:val="clear" w:color="auto" w:fill="auto"/>
            <w:vAlign w:val="center"/>
          </w:tcPr>
          <w:p>
            <w:pPr>
              <w:widowControl/>
              <w:spacing w:line="240" w:lineRule="exact"/>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92" w:type="dxa"/>
            <w:gridSpan w:val="2"/>
            <w:shd w:val="clear" w:color="auto" w:fill="auto"/>
            <w:vAlign w:val="center"/>
          </w:tcPr>
          <w:p>
            <w:pPr>
              <w:widowControl/>
              <w:spacing w:line="240" w:lineRule="exact"/>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096" w:type="dxa"/>
            <w:gridSpan w:val="2"/>
            <w:shd w:val="clear" w:color="auto" w:fill="auto"/>
            <w:vAlign w:val="center"/>
          </w:tcPr>
          <w:p>
            <w:pPr>
              <w:widowControl/>
              <w:spacing w:line="240" w:lineRule="exact"/>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65" w:type="dxa"/>
            <w:vMerge w:val="continue"/>
            <w:vAlign w:val="center"/>
          </w:tcPr>
          <w:p>
            <w:pPr>
              <w:widowControl/>
              <w:spacing w:line="240" w:lineRule="exact"/>
              <w:jc w:val="left"/>
              <w:rPr>
                <w:rFonts w:ascii="Times New Roman" w:hAnsi="Times New Roman"/>
                <w:color w:val="000000"/>
                <w:kern w:val="0"/>
                <w:sz w:val="22"/>
              </w:rPr>
            </w:pPr>
          </w:p>
        </w:tc>
        <w:tc>
          <w:tcPr>
            <w:tcW w:w="261" w:type="dxa"/>
            <w:vMerge w:val="continue"/>
            <w:vAlign w:val="center"/>
          </w:tcPr>
          <w:p>
            <w:pPr>
              <w:widowControl/>
              <w:spacing w:line="240" w:lineRule="exact"/>
              <w:jc w:val="center"/>
              <w:rPr>
                <w:rFonts w:ascii="黑体" w:hAnsi="宋体" w:eastAsia="黑体" w:cs="宋体"/>
                <w:color w:val="000000"/>
                <w:kern w:val="0"/>
                <w:sz w:val="22"/>
              </w:rPr>
            </w:pPr>
          </w:p>
        </w:tc>
        <w:tc>
          <w:tcPr>
            <w:tcW w:w="545" w:type="dxa"/>
            <w:shd w:val="clear" w:color="auto" w:fill="auto"/>
            <w:vAlign w:val="center"/>
          </w:tcPr>
          <w:p>
            <w:pPr>
              <w:widowControl/>
              <w:spacing w:line="240" w:lineRule="exact"/>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892" w:type="dxa"/>
            <w:shd w:val="clear" w:color="auto" w:fill="auto"/>
            <w:vAlign w:val="center"/>
          </w:tcPr>
          <w:p>
            <w:pPr>
              <w:widowControl/>
              <w:spacing w:line="240" w:lineRule="exact"/>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008" w:type="dxa"/>
            <w:vMerge w:val="continue"/>
            <w:vAlign w:val="center"/>
          </w:tcPr>
          <w:p>
            <w:pPr>
              <w:widowControl/>
              <w:spacing w:line="240" w:lineRule="exact"/>
              <w:jc w:val="left"/>
              <w:rPr>
                <w:rFonts w:ascii="黑体" w:hAnsi="宋体" w:eastAsia="黑体" w:cs="宋体"/>
                <w:color w:val="000000"/>
                <w:kern w:val="0"/>
                <w:sz w:val="22"/>
              </w:rPr>
            </w:pPr>
          </w:p>
        </w:tc>
        <w:tc>
          <w:tcPr>
            <w:tcW w:w="3662" w:type="dxa"/>
            <w:vMerge w:val="continue"/>
            <w:vAlign w:val="center"/>
          </w:tcPr>
          <w:p>
            <w:pPr>
              <w:widowControl/>
              <w:spacing w:line="240" w:lineRule="exact"/>
              <w:jc w:val="left"/>
              <w:rPr>
                <w:rFonts w:ascii="黑体" w:hAnsi="宋体" w:eastAsia="黑体" w:cs="宋体"/>
                <w:color w:val="000000"/>
                <w:kern w:val="0"/>
                <w:sz w:val="22"/>
              </w:rPr>
            </w:pPr>
          </w:p>
        </w:tc>
        <w:tc>
          <w:tcPr>
            <w:tcW w:w="1276" w:type="dxa"/>
            <w:vMerge w:val="continue"/>
            <w:vAlign w:val="center"/>
          </w:tcPr>
          <w:p>
            <w:pPr>
              <w:widowControl/>
              <w:spacing w:line="240" w:lineRule="exact"/>
              <w:jc w:val="left"/>
              <w:rPr>
                <w:rFonts w:ascii="黑体" w:hAnsi="宋体" w:eastAsia="黑体" w:cs="宋体"/>
                <w:color w:val="000000"/>
                <w:kern w:val="0"/>
                <w:sz w:val="22"/>
              </w:rPr>
            </w:pPr>
          </w:p>
        </w:tc>
        <w:tc>
          <w:tcPr>
            <w:tcW w:w="1559" w:type="dxa"/>
            <w:vMerge w:val="continue"/>
            <w:vAlign w:val="center"/>
          </w:tcPr>
          <w:p>
            <w:pPr>
              <w:widowControl/>
              <w:spacing w:line="240" w:lineRule="exact"/>
              <w:jc w:val="left"/>
              <w:rPr>
                <w:rFonts w:ascii="黑体" w:hAnsi="宋体" w:eastAsia="黑体" w:cs="宋体"/>
                <w:color w:val="000000"/>
                <w:kern w:val="0"/>
                <w:sz w:val="22"/>
              </w:rPr>
            </w:pPr>
          </w:p>
        </w:tc>
        <w:tc>
          <w:tcPr>
            <w:tcW w:w="1684" w:type="dxa"/>
            <w:vMerge w:val="continue"/>
            <w:vAlign w:val="center"/>
          </w:tcPr>
          <w:p>
            <w:pPr>
              <w:widowControl/>
              <w:spacing w:line="240" w:lineRule="exact"/>
              <w:jc w:val="left"/>
              <w:rPr>
                <w:rFonts w:ascii="黑体" w:hAnsi="宋体" w:eastAsia="黑体" w:cs="宋体"/>
                <w:kern w:val="0"/>
                <w:sz w:val="22"/>
              </w:rPr>
            </w:pPr>
          </w:p>
        </w:tc>
        <w:tc>
          <w:tcPr>
            <w:tcW w:w="574" w:type="dxa"/>
            <w:shd w:val="clear" w:color="auto" w:fill="auto"/>
            <w:vAlign w:val="center"/>
          </w:tcPr>
          <w:p>
            <w:pPr>
              <w:widowControl/>
              <w:spacing w:line="240" w:lineRule="exact"/>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575" w:type="dxa"/>
            <w:shd w:val="clear" w:color="auto" w:fill="auto"/>
            <w:vAlign w:val="center"/>
          </w:tcPr>
          <w:p>
            <w:pPr>
              <w:widowControl/>
              <w:spacing w:line="240" w:lineRule="exact"/>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74" w:type="dxa"/>
            <w:shd w:val="clear" w:color="auto" w:fill="auto"/>
            <w:vAlign w:val="center"/>
          </w:tcPr>
          <w:p>
            <w:pPr>
              <w:widowControl/>
              <w:spacing w:line="240" w:lineRule="exact"/>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18" w:type="dxa"/>
            <w:shd w:val="clear" w:color="auto" w:fill="auto"/>
            <w:vAlign w:val="center"/>
          </w:tcPr>
          <w:p>
            <w:pPr>
              <w:widowControl/>
              <w:spacing w:line="240" w:lineRule="exact"/>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574" w:type="dxa"/>
            <w:shd w:val="clear" w:color="auto" w:fill="auto"/>
            <w:vAlign w:val="center"/>
          </w:tcPr>
          <w:p>
            <w:pPr>
              <w:widowControl/>
              <w:spacing w:line="240" w:lineRule="exact"/>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522" w:type="dxa"/>
            <w:shd w:val="clear" w:color="auto" w:fill="auto"/>
            <w:vAlign w:val="center"/>
          </w:tcPr>
          <w:p>
            <w:pPr>
              <w:widowControl/>
              <w:spacing w:line="240" w:lineRule="exact"/>
              <w:jc w:val="center"/>
              <w:rPr>
                <w:rFonts w:ascii="黑体" w:hAnsi="宋体" w:eastAsia="黑体" w:cs="宋体"/>
                <w:color w:val="000000"/>
                <w:kern w:val="0"/>
                <w:sz w:val="22"/>
              </w:rPr>
            </w:pPr>
            <w:r>
              <w:rPr>
                <w:rFonts w:hint="eastAsia" w:ascii="黑体" w:hAnsi="宋体" w:eastAsia="黑体" w:cs="宋体"/>
                <w:color w:val="000000"/>
                <w:kern w:val="0"/>
                <w:sz w:val="22"/>
              </w:rPr>
              <w:t>乡级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39" w:hRule="atLeast"/>
          <w:jc w:val="center"/>
        </w:trPr>
        <w:tc>
          <w:tcPr>
            <w:tcW w:w="565" w:type="dxa"/>
            <w:vAlign w:val="center"/>
          </w:tcPr>
          <w:p>
            <w:pPr>
              <w:widowControl/>
              <w:spacing w:line="240" w:lineRule="exact"/>
              <w:jc w:val="center"/>
              <w:rPr>
                <w:rFonts w:ascii="Times New Roman" w:hAnsi="Times New Roman"/>
                <w:color w:val="000000"/>
                <w:kern w:val="0"/>
                <w:sz w:val="16"/>
                <w:szCs w:val="16"/>
              </w:rPr>
            </w:pPr>
            <w:r>
              <w:rPr>
                <w:rFonts w:hint="eastAsia" w:ascii="Times New Roman" w:hAnsi="Times New Roman"/>
                <w:color w:val="000000"/>
                <w:kern w:val="0"/>
                <w:sz w:val="16"/>
                <w:szCs w:val="16"/>
              </w:rPr>
              <w:t>1</w:t>
            </w:r>
          </w:p>
        </w:tc>
        <w:tc>
          <w:tcPr>
            <w:tcW w:w="261" w:type="dxa"/>
            <w:vMerge w:val="restart"/>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决策</w:t>
            </w:r>
          </w:p>
        </w:tc>
        <w:tc>
          <w:tcPr>
            <w:tcW w:w="545"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部门文件</w:t>
            </w:r>
          </w:p>
        </w:tc>
        <w:tc>
          <w:tcPr>
            <w:tcW w:w="892" w:type="dxa"/>
            <w:shd w:val="clear" w:color="auto" w:fill="auto"/>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农村危房改造相关文件</w:t>
            </w:r>
          </w:p>
        </w:tc>
        <w:tc>
          <w:tcPr>
            <w:tcW w:w="2008" w:type="dxa"/>
            <w:vAlign w:val="center"/>
          </w:tcPr>
          <w:p>
            <w:pPr>
              <w:widowControl/>
              <w:spacing w:line="240" w:lineRule="exact"/>
              <w:rPr>
                <w:rFonts w:ascii="黑体" w:hAnsi="宋体" w:eastAsia="黑体" w:cs="宋体"/>
                <w:color w:val="000000"/>
                <w:kern w:val="0"/>
                <w:sz w:val="22"/>
              </w:rPr>
            </w:pPr>
            <w:r>
              <w:rPr>
                <w:rFonts w:hint="eastAsia" w:ascii="仿宋_GB2312" w:hAnsi="宋体" w:eastAsia="仿宋_GB2312"/>
                <w:color w:val="000000"/>
                <w:sz w:val="18"/>
                <w:szCs w:val="18"/>
              </w:rPr>
              <w:t>文件分类、生成日期、标题、文号、有效性、关键词和具体内容等</w:t>
            </w:r>
          </w:p>
        </w:tc>
        <w:tc>
          <w:tcPr>
            <w:tcW w:w="3662" w:type="dxa"/>
            <w:vMerge w:val="restart"/>
            <w:vAlign w:val="center"/>
          </w:tcPr>
          <w:p>
            <w:pPr>
              <w:widowControl/>
              <w:spacing w:line="240" w:lineRule="exact"/>
              <w:jc w:val="left"/>
              <w:rPr>
                <w:rFonts w:ascii="黑体" w:hAnsi="宋体" w:eastAsia="黑体" w:cs="宋体"/>
                <w:color w:val="000000"/>
                <w:kern w:val="0"/>
                <w:sz w:val="22"/>
              </w:rPr>
            </w:pPr>
            <w:r>
              <w:rPr>
                <w:rFonts w:hint="eastAsia" w:ascii="仿宋_GB2312" w:hAnsi="宋体" w:eastAsia="仿宋_GB2312"/>
                <w:color w:val="000000"/>
                <w:sz w:val="18"/>
                <w:szCs w:val="18"/>
              </w:rPr>
              <w:t>政府信息公开条例》、《中共中央办公厅国务院办公厅印发〈关于全面推进政务公开工作的意见〉的通知》、《中共中央办公厅 国务院办公厅关于建立健全信息发布和政策解读机制的意见》、《国务院办公厅印发〈关于全面推进政务公开工作的意见〉实施细则的通知》</w:t>
            </w:r>
          </w:p>
        </w:tc>
        <w:tc>
          <w:tcPr>
            <w:tcW w:w="1276" w:type="dxa"/>
            <w:vAlign w:val="center"/>
          </w:tcPr>
          <w:p>
            <w:pPr>
              <w:widowControl/>
              <w:spacing w:line="240" w:lineRule="exact"/>
              <w:rPr>
                <w:rFonts w:ascii="黑体" w:hAnsi="宋体" w:eastAsia="黑体" w:cs="宋体"/>
                <w:color w:val="000000"/>
                <w:kern w:val="0"/>
                <w:sz w:val="22"/>
              </w:rPr>
            </w:pPr>
            <w:r>
              <w:rPr>
                <w:rFonts w:hint="eastAsia" w:ascii="仿宋_GB2312" w:hAnsi="宋体" w:eastAsia="仿宋_GB2312"/>
                <w:color w:val="000000"/>
                <w:sz w:val="18"/>
                <w:szCs w:val="18"/>
              </w:rPr>
              <w:t>信息形成之日起20个工作日内</w:t>
            </w:r>
          </w:p>
        </w:tc>
        <w:tc>
          <w:tcPr>
            <w:tcW w:w="1559" w:type="dxa"/>
            <w:vAlign w:val="center"/>
          </w:tcPr>
          <w:p>
            <w:pPr>
              <w:widowControl/>
              <w:spacing w:line="240" w:lineRule="exact"/>
              <w:rPr>
                <w:rFonts w:ascii="黑体" w:hAnsi="宋体" w:eastAsia="黑体" w:cs="宋体"/>
                <w:color w:val="000000"/>
                <w:kern w:val="0"/>
                <w:sz w:val="22"/>
              </w:rPr>
            </w:pPr>
            <w:r>
              <w:rPr>
                <w:rFonts w:hint="eastAsia" w:ascii="仿宋_GB2312" w:hAnsi="宋体" w:eastAsia="仿宋_GB2312"/>
                <w:color w:val="000000"/>
                <w:sz w:val="18"/>
                <w:szCs w:val="18"/>
              </w:rPr>
              <w:t>住房和城乡建设局</w:t>
            </w:r>
          </w:p>
        </w:tc>
        <w:tc>
          <w:tcPr>
            <w:tcW w:w="1684" w:type="dxa"/>
            <w:vAlign w:val="center"/>
          </w:tcPr>
          <w:p>
            <w:pPr>
              <w:widowControl/>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■乡镇公示栏</w:t>
            </w:r>
          </w:p>
          <w:p>
            <w:pPr>
              <w:widowControl/>
              <w:spacing w:line="240" w:lineRule="exact"/>
              <w:rPr>
                <w:rFonts w:ascii="黑体" w:hAnsi="宋体" w:eastAsia="黑体" w:cs="宋体"/>
                <w:kern w:val="0"/>
                <w:sz w:val="22"/>
              </w:rPr>
            </w:pPr>
            <w:r>
              <w:rPr>
                <w:rFonts w:hint="eastAsia" w:ascii="仿宋_GB2312" w:hAnsi="宋体" w:eastAsia="仿宋_GB2312"/>
                <w:color w:val="000000"/>
                <w:sz w:val="18"/>
                <w:szCs w:val="18"/>
              </w:rPr>
              <w:t>■村公示栏</w:t>
            </w:r>
          </w:p>
        </w:tc>
        <w:tc>
          <w:tcPr>
            <w:tcW w:w="574"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75" w:type="dxa"/>
            <w:shd w:val="clear" w:color="auto" w:fill="auto"/>
            <w:vAlign w:val="center"/>
          </w:tcPr>
          <w:p>
            <w:pPr>
              <w:spacing w:line="240" w:lineRule="exact"/>
              <w:jc w:val="center"/>
              <w:rPr>
                <w:rFonts w:ascii="仿宋_GB2312" w:hAnsi="宋体" w:eastAsia="仿宋_GB2312"/>
                <w:color w:val="000000"/>
                <w:sz w:val="18"/>
                <w:szCs w:val="18"/>
              </w:rPr>
            </w:pPr>
          </w:p>
        </w:tc>
        <w:tc>
          <w:tcPr>
            <w:tcW w:w="574"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8" w:type="dxa"/>
            <w:shd w:val="clear" w:color="auto" w:fill="auto"/>
            <w:vAlign w:val="center"/>
          </w:tcPr>
          <w:p>
            <w:pPr>
              <w:spacing w:line="240" w:lineRule="exact"/>
              <w:jc w:val="center"/>
              <w:rPr>
                <w:rFonts w:ascii="仿宋_GB2312" w:hAnsi="宋体" w:eastAsia="仿宋_GB2312"/>
                <w:color w:val="000000"/>
                <w:sz w:val="18"/>
                <w:szCs w:val="18"/>
              </w:rPr>
            </w:pPr>
          </w:p>
        </w:tc>
        <w:tc>
          <w:tcPr>
            <w:tcW w:w="574"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22"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97" w:hRule="atLeast"/>
          <w:jc w:val="center"/>
        </w:trPr>
        <w:tc>
          <w:tcPr>
            <w:tcW w:w="565" w:type="dxa"/>
            <w:vAlign w:val="center"/>
          </w:tcPr>
          <w:p>
            <w:pPr>
              <w:widowControl/>
              <w:spacing w:line="240" w:lineRule="exact"/>
              <w:jc w:val="center"/>
              <w:rPr>
                <w:rFonts w:ascii="Times New Roman" w:hAnsi="Times New Roman"/>
                <w:color w:val="000000"/>
                <w:kern w:val="0"/>
                <w:sz w:val="16"/>
                <w:szCs w:val="16"/>
              </w:rPr>
            </w:pPr>
            <w:r>
              <w:rPr>
                <w:rFonts w:hint="eastAsia" w:ascii="Times New Roman" w:hAnsi="Times New Roman"/>
                <w:color w:val="000000"/>
                <w:kern w:val="0"/>
                <w:sz w:val="16"/>
                <w:szCs w:val="16"/>
              </w:rPr>
              <w:t>2</w:t>
            </w:r>
          </w:p>
        </w:tc>
        <w:tc>
          <w:tcPr>
            <w:tcW w:w="261" w:type="dxa"/>
            <w:vMerge w:val="continue"/>
            <w:vAlign w:val="center"/>
          </w:tcPr>
          <w:p>
            <w:pPr>
              <w:spacing w:line="240" w:lineRule="exact"/>
              <w:jc w:val="center"/>
              <w:rPr>
                <w:rFonts w:ascii="仿宋_GB2312" w:hAnsi="宋体" w:eastAsia="仿宋_GB2312"/>
                <w:color w:val="000000"/>
                <w:sz w:val="18"/>
                <w:szCs w:val="18"/>
              </w:rPr>
            </w:pPr>
          </w:p>
        </w:tc>
        <w:tc>
          <w:tcPr>
            <w:tcW w:w="545"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政策解读</w:t>
            </w:r>
          </w:p>
        </w:tc>
        <w:tc>
          <w:tcPr>
            <w:tcW w:w="892" w:type="dxa"/>
            <w:shd w:val="clear" w:color="auto" w:fill="auto"/>
            <w:vAlign w:val="center"/>
          </w:tcPr>
          <w:p>
            <w:pPr>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上级政策解读</w:t>
            </w:r>
          </w:p>
        </w:tc>
        <w:tc>
          <w:tcPr>
            <w:tcW w:w="2008" w:type="dxa"/>
            <w:vMerge w:val="restart"/>
            <w:vAlign w:val="center"/>
          </w:tcPr>
          <w:p>
            <w:pPr>
              <w:widowControl/>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着重解读政策措施的背景依据、目标任务、主要内容、涉及范围、执行标准，以及注意事项、关键词诠释、惠民利民举措、新旧政策差异等。</w:t>
            </w:r>
          </w:p>
        </w:tc>
        <w:tc>
          <w:tcPr>
            <w:tcW w:w="3662" w:type="dxa"/>
            <w:vMerge w:val="continue"/>
            <w:vAlign w:val="center"/>
          </w:tcPr>
          <w:p>
            <w:pPr>
              <w:widowControl/>
              <w:spacing w:line="240" w:lineRule="exact"/>
              <w:jc w:val="left"/>
              <w:rPr>
                <w:rFonts w:ascii="仿宋_GB2312" w:hAnsi="宋体" w:eastAsia="仿宋_GB2312"/>
                <w:color w:val="000000"/>
                <w:sz w:val="18"/>
                <w:szCs w:val="18"/>
              </w:rPr>
            </w:pPr>
          </w:p>
        </w:tc>
        <w:tc>
          <w:tcPr>
            <w:tcW w:w="1276" w:type="dxa"/>
            <w:vMerge w:val="restart"/>
            <w:vAlign w:val="center"/>
          </w:tcPr>
          <w:p>
            <w:pPr>
              <w:widowControl/>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559" w:type="dxa"/>
            <w:vMerge w:val="restart"/>
            <w:vAlign w:val="center"/>
          </w:tcPr>
          <w:p>
            <w:pPr>
              <w:widowControl/>
              <w:spacing w:line="240" w:lineRule="exact"/>
              <w:rPr>
                <w:rFonts w:ascii="黑体" w:hAnsi="宋体" w:eastAsia="黑体" w:cs="宋体"/>
                <w:color w:val="000000"/>
                <w:kern w:val="0"/>
                <w:sz w:val="22"/>
              </w:rPr>
            </w:pPr>
            <w:r>
              <w:rPr>
                <w:rFonts w:hint="eastAsia" w:ascii="仿宋_GB2312" w:hAnsi="宋体" w:eastAsia="仿宋_GB2312"/>
                <w:color w:val="000000"/>
                <w:sz w:val="18"/>
                <w:szCs w:val="18"/>
              </w:rPr>
              <w:t>住房和城乡建设局</w:t>
            </w:r>
          </w:p>
        </w:tc>
        <w:tc>
          <w:tcPr>
            <w:tcW w:w="1684" w:type="dxa"/>
            <w:vMerge w:val="restart"/>
            <w:vAlign w:val="center"/>
          </w:tcPr>
          <w:p>
            <w:pPr>
              <w:widowControl/>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■乡镇公示栏</w:t>
            </w:r>
          </w:p>
          <w:p>
            <w:pPr>
              <w:widowControl/>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■村公示栏</w:t>
            </w:r>
          </w:p>
        </w:tc>
        <w:tc>
          <w:tcPr>
            <w:tcW w:w="574"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75" w:type="dxa"/>
            <w:vMerge w:val="restart"/>
            <w:shd w:val="clear" w:color="auto" w:fill="auto"/>
            <w:vAlign w:val="center"/>
          </w:tcPr>
          <w:p>
            <w:pPr>
              <w:spacing w:line="240" w:lineRule="exact"/>
              <w:jc w:val="center"/>
              <w:rPr>
                <w:rFonts w:ascii="仿宋_GB2312" w:hAnsi="宋体" w:eastAsia="仿宋_GB2312"/>
                <w:color w:val="000000"/>
                <w:sz w:val="18"/>
                <w:szCs w:val="18"/>
              </w:rPr>
            </w:pPr>
          </w:p>
        </w:tc>
        <w:tc>
          <w:tcPr>
            <w:tcW w:w="574"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8" w:type="dxa"/>
            <w:vMerge w:val="restart"/>
            <w:shd w:val="clear" w:color="auto" w:fill="auto"/>
            <w:vAlign w:val="center"/>
          </w:tcPr>
          <w:p>
            <w:pPr>
              <w:spacing w:line="240" w:lineRule="exact"/>
              <w:jc w:val="center"/>
              <w:rPr>
                <w:rFonts w:ascii="仿宋_GB2312" w:hAnsi="宋体" w:eastAsia="仿宋_GB2312"/>
                <w:color w:val="000000"/>
                <w:sz w:val="18"/>
                <w:szCs w:val="18"/>
              </w:rPr>
            </w:pPr>
          </w:p>
        </w:tc>
        <w:tc>
          <w:tcPr>
            <w:tcW w:w="574"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22"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35" w:hRule="atLeast"/>
          <w:jc w:val="center"/>
        </w:trPr>
        <w:tc>
          <w:tcPr>
            <w:tcW w:w="565" w:type="dxa"/>
            <w:vAlign w:val="center"/>
          </w:tcPr>
          <w:p>
            <w:pPr>
              <w:widowControl/>
              <w:spacing w:line="240" w:lineRule="exact"/>
              <w:jc w:val="center"/>
              <w:rPr>
                <w:rFonts w:ascii="Times New Roman" w:hAnsi="Times New Roman"/>
                <w:color w:val="000000"/>
                <w:kern w:val="0"/>
                <w:sz w:val="16"/>
                <w:szCs w:val="16"/>
              </w:rPr>
            </w:pPr>
            <w:r>
              <w:rPr>
                <w:rFonts w:hint="eastAsia" w:ascii="Times New Roman" w:hAnsi="Times New Roman"/>
                <w:color w:val="000000"/>
                <w:kern w:val="0"/>
                <w:sz w:val="16"/>
                <w:szCs w:val="16"/>
              </w:rPr>
              <w:t>3</w:t>
            </w:r>
          </w:p>
        </w:tc>
        <w:tc>
          <w:tcPr>
            <w:tcW w:w="261" w:type="dxa"/>
            <w:vMerge w:val="continue"/>
            <w:vAlign w:val="center"/>
          </w:tcPr>
          <w:p>
            <w:pPr>
              <w:spacing w:line="240" w:lineRule="exact"/>
              <w:jc w:val="center"/>
              <w:rPr>
                <w:rFonts w:ascii="仿宋_GB2312" w:hAnsi="宋体" w:eastAsia="仿宋_GB2312"/>
                <w:color w:val="000000"/>
                <w:sz w:val="18"/>
                <w:szCs w:val="18"/>
              </w:rPr>
            </w:pPr>
          </w:p>
        </w:tc>
        <w:tc>
          <w:tcPr>
            <w:tcW w:w="545" w:type="dxa"/>
            <w:vMerge w:val="continue"/>
            <w:shd w:val="clear" w:color="auto" w:fill="auto"/>
            <w:vAlign w:val="center"/>
          </w:tcPr>
          <w:p>
            <w:pPr>
              <w:spacing w:line="240" w:lineRule="exact"/>
              <w:jc w:val="center"/>
              <w:rPr>
                <w:rFonts w:ascii="仿宋_GB2312" w:hAnsi="宋体" w:eastAsia="仿宋_GB2312"/>
                <w:color w:val="000000"/>
                <w:sz w:val="18"/>
                <w:szCs w:val="18"/>
              </w:rPr>
            </w:pPr>
          </w:p>
        </w:tc>
        <w:tc>
          <w:tcPr>
            <w:tcW w:w="892" w:type="dxa"/>
            <w:shd w:val="clear" w:color="auto" w:fill="auto"/>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本级政策解读</w:t>
            </w:r>
          </w:p>
        </w:tc>
        <w:tc>
          <w:tcPr>
            <w:tcW w:w="2008" w:type="dxa"/>
            <w:vMerge w:val="continue"/>
            <w:vAlign w:val="center"/>
          </w:tcPr>
          <w:p>
            <w:pPr>
              <w:widowControl/>
              <w:spacing w:line="240" w:lineRule="exact"/>
              <w:rPr>
                <w:rFonts w:ascii="仿宋_GB2312" w:hAnsi="宋体" w:eastAsia="仿宋_GB2312"/>
                <w:color w:val="000000"/>
                <w:sz w:val="18"/>
                <w:szCs w:val="18"/>
              </w:rPr>
            </w:pPr>
          </w:p>
        </w:tc>
        <w:tc>
          <w:tcPr>
            <w:tcW w:w="3662" w:type="dxa"/>
            <w:vMerge w:val="continue"/>
            <w:vAlign w:val="center"/>
          </w:tcPr>
          <w:p>
            <w:pPr>
              <w:widowControl/>
              <w:spacing w:line="240" w:lineRule="exact"/>
              <w:jc w:val="left"/>
              <w:rPr>
                <w:rFonts w:ascii="仿宋_GB2312" w:hAnsi="宋体" w:eastAsia="仿宋_GB2312"/>
                <w:color w:val="000000"/>
                <w:sz w:val="18"/>
                <w:szCs w:val="18"/>
              </w:rPr>
            </w:pPr>
          </w:p>
        </w:tc>
        <w:tc>
          <w:tcPr>
            <w:tcW w:w="1276" w:type="dxa"/>
            <w:vMerge w:val="continue"/>
            <w:vAlign w:val="center"/>
          </w:tcPr>
          <w:p>
            <w:pPr>
              <w:widowControl/>
              <w:spacing w:line="240" w:lineRule="exact"/>
              <w:rPr>
                <w:rFonts w:ascii="仿宋_GB2312" w:hAnsi="宋体" w:eastAsia="仿宋_GB2312"/>
                <w:color w:val="000000"/>
                <w:sz w:val="18"/>
                <w:szCs w:val="18"/>
              </w:rPr>
            </w:pPr>
          </w:p>
        </w:tc>
        <w:tc>
          <w:tcPr>
            <w:tcW w:w="1559" w:type="dxa"/>
            <w:vMerge w:val="continue"/>
            <w:vAlign w:val="center"/>
          </w:tcPr>
          <w:p>
            <w:pPr>
              <w:widowControl/>
              <w:spacing w:line="240" w:lineRule="exact"/>
              <w:rPr>
                <w:rFonts w:ascii="仿宋_GB2312" w:hAnsi="宋体" w:eastAsia="仿宋_GB2312"/>
                <w:color w:val="000000"/>
                <w:sz w:val="18"/>
                <w:szCs w:val="18"/>
              </w:rPr>
            </w:pPr>
          </w:p>
        </w:tc>
        <w:tc>
          <w:tcPr>
            <w:tcW w:w="1684" w:type="dxa"/>
            <w:vMerge w:val="continue"/>
            <w:vAlign w:val="center"/>
          </w:tcPr>
          <w:p>
            <w:pPr>
              <w:widowControl/>
              <w:spacing w:line="240" w:lineRule="exact"/>
              <w:rPr>
                <w:rFonts w:ascii="仿宋_GB2312" w:hAnsi="宋体" w:eastAsia="仿宋_GB2312"/>
                <w:color w:val="000000"/>
                <w:sz w:val="18"/>
                <w:szCs w:val="18"/>
              </w:rPr>
            </w:pPr>
          </w:p>
        </w:tc>
        <w:tc>
          <w:tcPr>
            <w:tcW w:w="574" w:type="dxa"/>
            <w:vMerge w:val="continue"/>
            <w:shd w:val="clear" w:color="auto" w:fill="auto"/>
            <w:vAlign w:val="center"/>
          </w:tcPr>
          <w:p>
            <w:pPr>
              <w:spacing w:line="240" w:lineRule="exact"/>
              <w:jc w:val="center"/>
              <w:rPr>
                <w:rFonts w:ascii="仿宋_GB2312" w:hAnsi="宋体" w:eastAsia="仿宋_GB2312"/>
                <w:color w:val="000000"/>
                <w:sz w:val="18"/>
                <w:szCs w:val="18"/>
              </w:rPr>
            </w:pPr>
          </w:p>
        </w:tc>
        <w:tc>
          <w:tcPr>
            <w:tcW w:w="575" w:type="dxa"/>
            <w:vMerge w:val="continue"/>
            <w:shd w:val="clear" w:color="auto" w:fill="auto"/>
            <w:vAlign w:val="center"/>
          </w:tcPr>
          <w:p>
            <w:pPr>
              <w:spacing w:line="240" w:lineRule="exact"/>
              <w:jc w:val="center"/>
              <w:rPr>
                <w:rFonts w:ascii="仿宋_GB2312" w:hAnsi="宋体" w:eastAsia="仿宋_GB2312"/>
                <w:color w:val="000000"/>
                <w:sz w:val="18"/>
                <w:szCs w:val="18"/>
              </w:rPr>
            </w:pPr>
          </w:p>
        </w:tc>
        <w:tc>
          <w:tcPr>
            <w:tcW w:w="574" w:type="dxa"/>
            <w:vMerge w:val="continue"/>
            <w:shd w:val="clear" w:color="auto" w:fill="auto"/>
            <w:vAlign w:val="center"/>
          </w:tcPr>
          <w:p>
            <w:pPr>
              <w:spacing w:line="240" w:lineRule="exact"/>
              <w:jc w:val="center"/>
              <w:rPr>
                <w:rFonts w:ascii="仿宋_GB2312" w:hAnsi="宋体" w:eastAsia="仿宋_GB2312"/>
                <w:color w:val="000000"/>
                <w:sz w:val="18"/>
                <w:szCs w:val="18"/>
              </w:rPr>
            </w:pPr>
          </w:p>
        </w:tc>
        <w:tc>
          <w:tcPr>
            <w:tcW w:w="718" w:type="dxa"/>
            <w:vMerge w:val="continue"/>
            <w:shd w:val="clear" w:color="auto" w:fill="auto"/>
            <w:vAlign w:val="center"/>
          </w:tcPr>
          <w:p>
            <w:pPr>
              <w:spacing w:line="240" w:lineRule="exact"/>
              <w:jc w:val="center"/>
              <w:rPr>
                <w:rFonts w:ascii="仿宋_GB2312" w:hAnsi="宋体" w:eastAsia="仿宋_GB2312"/>
                <w:color w:val="000000"/>
                <w:sz w:val="18"/>
                <w:szCs w:val="18"/>
              </w:rPr>
            </w:pPr>
          </w:p>
        </w:tc>
        <w:tc>
          <w:tcPr>
            <w:tcW w:w="574" w:type="dxa"/>
            <w:vMerge w:val="continue"/>
            <w:shd w:val="clear" w:color="auto" w:fill="auto"/>
            <w:vAlign w:val="center"/>
          </w:tcPr>
          <w:p>
            <w:pPr>
              <w:spacing w:line="240" w:lineRule="exact"/>
              <w:jc w:val="center"/>
              <w:rPr>
                <w:rFonts w:ascii="仿宋_GB2312" w:hAnsi="宋体" w:eastAsia="仿宋_GB2312"/>
                <w:color w:val="000000"/>
                <w:sz w:val="18"/>
                <w:szCs w:val="18"/>
              </w:rPr>
            </w:pPr>
          </w:p>
        </w:tc>
        <w:tc>
          <w:tcPr>
            <w:tcW w:w="522" w:type="dxa"/>
            <w:vMerge w:val="continue"/>
            <w:shd w:val="clear" w:color="auto" w:fill="auto"/>
            <w:vAlign w:val="center"/>
          </w:tcPr>
          <w:p>
            <w:pPr>
              <w:spacing w:line="240" w:lineRule="exact"/>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46" w:hRule="atLeast"/>
          <w:jc w:val="center"/>
        </w:trPr>
        <w:tc>
          <w:tcPr>
            <w:tcW w:w="565" w:type="dxa"/>
            <w:vAlign w:val="center"/>
          </w:tcPr>
          <w:p>
            <w:pPr>
              <w:widowControl/>
              <w:spacing w:line="240" w:lineRule="exact"/>
              <w:jc w:val="center"/>
              <w:rPr>
                <w:rFonts w:ascii="Times New Roman" w:hAnsi="Times New Roman"/>
                <w:color w:val="000000"/>
                <w:kern w:val="0"/>
                <w:sz w:val="16"/>
                <w:szCs w:val="16"/>
              </w:rPr>
            </w:pPr>
            <w:r>
              <w:rPr>
                <w:rFonts w:hint="eastAsia" w:ascii="Times New Roman" w:hAnsi="Times New Roman"/>
                <w:color w:val="000000"/>
                <w:kern w:val="0"/>
                <w:sz w:val="16"/>
                <w:szCs w:val="16"/>
              </w:rPr>
              <w:t>4</w:t>
            </w:r>
          </w:p>
        </w:tc>
        <w:tc>
          <w:tcPr>
            <w:tcW w:w="261" w:type="dxa"/>
            <w:vMerge w:val="restart"/>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执行</w:t>
            </w:r>
          </w:p>
        </w:tc>
        <w:tc>
          <w:tcPr>
            <w:tcW w:w="545"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计划实施</w:t>
            </w:r>
          </w:p>
        </w:tc>
        <w:tc>
          <w:tcPr>
            <w:tcW w:w="892"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任务分配</w:t>
            </w:r>
          </w:p>
        </w:tc>
        <w:tc>
          <w:tcPr>
            <w:tcW w:w="2008"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及时公开农村危房改造补助农户名单</w:t>
            </w:r>
          </w:p>
        </w:tc>
        <w:tc>
          <w:tcPr>
            <w:tcW w:w="3662" w:type="dxa"/>
            <w:vAlign w:val="center"/>
          </w:tcPr>
          <w:p>
            <w:pPr>
              <w:widowControl/>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《住房城乡建设部 财政部 国务院扶贫办关于加强和完善建档立卡贫困户等重点对象农村危房改造若干问题的通知》等</w:t>
            </w:r>
          </w:p>
        </w:tc>
        <w:tc>
          <w:tcPr>
            <w:tcW w:w="1276" w:type="dxa"/>
            <w:vAlign w:val="center"/>
          </w:tcPr>
          <w:p>
            <w:pPr>
              <w:widowControl/>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分配结果确定后20个工作日内</w:t>
            </w:r>
          </w:p>
        </w:tc>
        <w:tc>
          <w:tcPr>
            <w:tcW w:w="1559" w:type="dxa"/>
            <w:vAlign w:val="center"/>
          </w:tcPr>
          <w:p>
            <w:pPr>
              <w:widowControl/>
              <w:spacing w:line="240" w:lineRule="exact"/>
              <w:rPr>
                <w:rFonts w:ascii="黑体" w:hAnsi="宋体" w:eastAsia="黑体" w:cs="宋体"/>
                <w:color w:val="000000"/>
                <w:kern w:val="0"/>
                <w:sz w:val="22"/>
              </w:rPr>
            </w:pPr>
            <w:r>
              <w:rPr>
                <w:rFonts w:hint="eastAsia" w:ascii="仿宋_GB2312" w:hAnsi="宋体" w:eastAsia="仿宋_GB2312"/>
                <w:color w:val="000000"/>
                <w:sz w:val="18"/>
                <w:szCs w:val="18"/>
              </w:rPr>
              <w:t>住房和城乡建设局</w:t>
            </w:r>
          </w:p>
        </w:tc>
        <w:tc>
          <w:tcPr>
            <w:tcW w:w="1684" w:type="dxa"/>
            <w:vAlign w:val="center"/>
          </w:tcPr>
          <w:p>
            <w:pPr>
              <w:widowControl/>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■村公示栏</w:t>
            </w:r>
          </w:p>
        </w:tc>
        <w:tc>
          <w:tcPr>
            <w:tcW w:w="574"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75" w:type="dxa"/>
            <w:shd w:val="clear" w:color="auto" w:fill="auto"/>
            <w:vAlign w:val="center"/>
          </w:tcPr>
          <w:p>
            <w:pPr>
              <w:spacing w:line="240" w:lineRule="exact"/>
              <w:jc w:val="center"/>
              <w:rPr>
                <w:rFonts w:ascii="仿宋_GB2312" w:hAnsi="宋体" w:eastAsia="仿宋_GB2312"/>
                <w:color w:val="000000"/>
                <w:sz w:val="18"/>
                <w:szCs w:val="18"/>
              </w:rPr>
            </w:pPr>
          </w:p>
        </w:tc>
        <w:tc>
          <w:tcPr>
            <w:tcW w:w="574"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8" w:type="dxa"/>
            <w:shd w:val="clear" w:color="auto" w:fill="auto"/>
            <w:vAlign w:val="center"/>
          </w:tcPr>
          <w:p>
            <w:pPr>
              <w:spacing w:line="240" w:lineRule="exact"/>
              <w:jc w:val="center"/>
              <w:rPr>
                <w:rFonts w:ascii="仿宋_GB2312" w:hAnsi="宋体" w:eastAsia="仿宋_GB2312"/>
                <w:color w:val="000000"/>
                <w:sz w:val="18"/>
                <w:szCs w:val="18"/>
              </w:rPr>
            </w:pPr>
          </w:p>
        </w:tc>
        <w:tc>
          <w:tcPr>
            <w:tcW w:w="574"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22"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45" w:hRule="atLeast"/>
          <w:jc w:val="center"/>
        </w:trPr>
        <w:tc>
          <w:tcPr>
            <w:tcW w:w="565" w:type="dxa"/>
            <w:vAlign w:val="center"/>
          </w:tcPr>
          <w:p>
            <w:pPr>
              <w:widowControl/>
              <w:spacing w:line="240" w:lineRule="exact"/>
              <w:jc w:val="center"/>
              <w:rPr>
                <w:rFonts w:ascii="Times New Roman" w:hAnsi="Times New Roman"/>
                <w:color w:val="000000"/>
                <w:kern w:val="0"/>
                <w:sz w:val="16"/>
                <w:szCs w:val="16"/>
              </w:rPr>
            </w:pPr>
            <w:r>
              <w:rPr>
                <w:rFonts w:hint="eastAsia" w:ascii="Times New Roman" w:hAnsi="Times New Roman"/>
                <w:color w:val="000000"/>
                <w:kern w:val="0"/>
                <w:sz w:val="16"/>
                <w:szCs w:val="16"/>
              </w:rPr>
              <w:t>5</w:t>
            </w:r>
          </w:p>
        </w:tc>
        <w:tc>
          <w:tcPr>
            <w:tcW w:w="261" w:type="dxa"/>
            <w:vMerge w:val="continue"/>
            <w:vAlign w:val="center"/>
          </w:tcPr>
          <w:p>
            <w:pPr>
              <w:spacing w:line="240" w:lineRule="exact"/>
              <w:jc w:val="center"/>
              <w:rPr>
                <w:rFonts w:ascii="仿宋_GB2312" w:hAnsi="宋体" w:eastAsia="仿宋_GB2312"/>
                <w:color w:val="000000"/>
                <w:sz w:val="18"/>
                <w:szCs w:val="18"/>
              </w:rPr>
            </w:pPr>
          </w:p>
        </w:tc>
        <w:tc>
          <w:tcPr>
            <w:tcW w:w="545" w:type="dxa"/>
            <w:vMerge w:val="continue"/>
            <w:shd w:val="clear" w:color="auto" w:fill="auto"/>
            <w:vAlign w:val="center"/>
          </w:tcPr>
          <w:p>
            <w:pPr>
              <w:spacing w:line="240" w:lineRule="exact"/>
              <w:jc w:val="center"/>
              <w:rPr>
                <w:rFonts w:ascii="仿宋_GB2312" w:hAnsi="宋体" w:eastAsia="仿宋_GB2312"/>
                <w:color w:val="000000"/>
                <w:sz w:val="18"/>
                <w:szCs w:val="18"/>
              </w:rPr>
            </w:pPr>
          </w:p>
        </w:tc>
        <w:tc>
          <w:tcPr>
            <w:tcW w:w="892"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组织培训</w:t>
            </w:r>
          </w:p>
        </w:tc>
        <w:tc>
          <w:tcPr>
            <w:tcW w:w="2008"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组织开展农村建筑工匠培训文件</w:t>
            </w:r>
          </w:p>
        </w:tc>
        <w:tc>
          <w:tcPr>
            <w:tcW w:w="3662" w:type="dxa"/>
            <w:vAlign w:val="center"/>
          </w:tcPr>
          <w:p>
            <w:pPr>
              <w:widowControl/>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《住房城乡建设部 财政部 国务院扶贫办关于加强和完善建档立卡贫困户等重点对象农村危房改造若干问题的通知》等</w:t>
            </w:r>
          </w:p>
        </w:tc>
        <w:tc>
          <w:tcPr>
            <w:tcW w:w="1276"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559" w:type="dxa"/>
            <w:vAlign w:val="center"/>
          </w:tcPr>
          <w:p>
            <w:pPr>
              <w:widowControl/>
              <w:spacing w:line="240" w:lineRule="exact"/>
              <w:rPr>
                <w:rFonts w:ascii="黑体" w:hAnsi="宋体" w:eastAsia="黑体" w:cs="宋体"/>
                <w:color w:val="000000"/>
                <w:kern w:val="0"/>
                <w:sz w:val="22"/>
              </w:rPr>
            </w:pPr>
            <w:r>
              <w:rPr>
                <w:rFonts w:hint="eastAsia" w:ascii="仿宋_GB2312" w:hAnsi="宋体" w:eastAsia="仿宋_GB2312"/>
                <w:color w:val="000000"/>
                <w:sz w:val="18"/>
                <w:szCs w:val="18"/>
              </w:rPr>
              <w:t>住房和城乡建设局</w:t>
            </w:r>
          </w:p>
        </w:tc>
        <w:tc>
          <w:tcPr>
            <w:tcW w:w="1684"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tc>
        <w:tc>
          <w:tcPr>
            <w:tcW w:w="574"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75" w:type="dxa"/>
            <w:shd w:val="clear" w:color="auto" w:fill="auto"/>
            <w:vAlign w:val="center"/>
          </w:tcPr>
          <w:p>
            <w:pPr>
              <w:spacing w:line="240" w:lineRule="exact"/>
              <w:jc w:val="center"/>
              <w:rPr>
                <w:rFonts w:ascii="仿宋_GB2312" w:hAnsi="宋体" w:eastAsia="仿宋_GB2312"/>
                <w:color w:val="000000"/>
                <w:sz w:val="18"/>
                <w:szCs w:val="18"/>
              </w:rPr>
            </w:pPr>
          </w:p>
        </w:tc>
        <w:tc>
          <w:tcPr>
            <w:tcW w:w="574"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8" w:type="dxa"/>
            <w:shd w:val="clear" w:color="auto" w:fill="auto"/>
            <w:vAlign w:val="center"/>
          </w:tcPr>
          <w:p>
            <w:pPr>
              <w:spacing w:line="240" w:lineRule="exact"/>
              <w:jc w:val="center"/>
              <w:rPr>
                <w:rFonts w:ascii="仿宋_GB2312" w:hAnsi="宋体" w:eastAsia="仿宋_GB2312"/>
                <w:color w:val="000000"/>
                <w:sz w:val="18"/>
                <w:szCs w:val="18"/>
              </w:rPr>
            </w:pPr>
          </w:p>
        </w:tc>
        <w:tc>
          <w:tcPr>
            <w:tcW w:w="574"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22"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51" w:hRule="atLeast"/>
          <w:jc w:val="center"/>
        </w:trPr>
        <w:tc>
          <w:tcPr>
            <w:tcW w:w="565" w:type="dxa"/>
            <w:vAlign w:val="center"/>
          </w:tcPr>
          <w:p>
            <w:pPr>
              <w:widowControl/>
              <w:spacing w:line="240" w:lineRule="exact"/>
              <w:jc w:val="center"/>
              <w:rPr>
                <w:rFonts w:ascii="Times New Roman" w:hAnsi="Times New Roman"/>
                <w:color w:val="000000"/>
                <w:kern w:val="0"/>
                <w:sz w:val="16"/>
                <w:szCs w:val="16"/>
              </w:rPr>
            </w:pPr>
            <w:r>
              <w:rPr>
                <w:rFonts w:hint="eastAsia" w:ascii="Times New Roman" w:hAnsi="Times New Roman"/>
                <w:color w:val="000000"/>
                <w:kern w:val="0"/>
                <w:sz w:val="16"/>
                <w:szCs w:val="16"/>
              </w:rPr>
              <w:t>6</w:t>
            </w:r>
          </w:p>
        </w:tc>
        <w:tc>
          <w:tcPr>
            <w:tcW w:w="261" w:type="dxa"/>
            <w:vMerge w:val="restart"/>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管理</w:t>
            </w:r>
          </w:p>
        </w:tc>
        <w:tc>
          <w:tcPr>
            <w:tcW w:w="545"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条件与标准</w:t>
            </w:r>
          </w:p>
        </w:tc>
        <w:tc>
          <w:tcPr>
            <w:tcW w:w="892" w:type="dxa"/>
            <w:shd w:val="clear" w:color="auto" w:fill="auto"/>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农村危房等级评定标准</w:t>
            </w:r>
          </w:p>
        </w:tc>
        <w:tc>
          <w:tcPr>
            <w:tcW w:w="2008"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农村危房等级评定相关标准</w:t>
            </w:r>
          </w:p>
        </w:tc>
        <w:tc>
          <w:tcPr>
            <w:tcW w:w="3662" w:type="dxa"/>
            <w:vAlign w:val="center"/>
          </w:tcPr>
          <w:p>
            <w:pPr>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tc>
        <w:tc>
          <w:tcPr>
            <w:tcW w:w="1276"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559" w:type="dxa"/>
            <w:vAlign w:val="center"/>
          </w:tcPr>
          <w:p>
            <w:pPr>
              <w:widowControl/>
              <w:spacing w:line="240" w:lineRule="exact"/>
              <w:rPr>
                <w:rFonts w:ascii="黑体" w:hAnsi="宋体" w:eastAsia="黑体" w:cs="宋体"/>
                <w:color w:val="000000"/>
                <w:kern w:val="0"/>
                <w:sz w:val="22"/>
              </w:rPr>
            </w:pPr>
            <w:r>
              <w:rPr>
                <w:rFonts w:hint="eastAsia" w:ascii="仿宋_GB2312" w:hAnsi="宋体" w:eastAsia="仿宋_GB2312"/>
                <w:color w:val="000000"/>
                <w:sz w:val="18"/>
                <w:szCs w:val="18"/>
              </w:rPr>
              <w:t>住房和城乡建设局</w:t>
            </w:r>
          </w:p>
        </w:tc>
        <w:tc>
          <w:tcPr>
            <w:tcW w:w="1684" w:type="dxa"/>
            <w:vAlign w:val="center"/>
          </w:tcPr>
          <w:p>
            <w:pPr>
              <w:widowControl/>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■乡镇公示栏</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■村公示栏</w:t>
            </w:r>
          </w:p>
        </w:tc>
        <w:tc>
          <w:tcPr>
            <w:tcW w:w="574"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75" w:type="dxa"/>
            <w:shd w:val="clear" w:color="auto" w:fill="auto"/>
            <w:vAlign w:val="center"/>
          </w:tcPr>
          <w:p>
            <w:pPr>
              <w:spacing w:line="240" w:lineRule="exact"/>
              <w:jc w:val="center"/>
              <w:rPr>
                <w:rFonts w:ascii="仿宋_GB2312" w:hAnsi="宋体" w:eastAsia="仿宋_GB2312"/>
                <w:color w:val="000000"/>
                <w:sz w:val="18"/>
                <w:szCs w:val="18"/>
              </w:rPr>
            </w:pPr>
          </w:p>
        </w:tc>
        <w:tc>
          <w:tcPr>
            <w:tcW w:w="574"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8" w:type="dxa"/>
            <w:shd w:val="clear" w:color="auto" w:fill="auto"/>
            <w:vAlign w:val="center"/>
          </w:tcPr>
          <w:p>
            <w:pPr>
              <w:spacing w:line="240" w:lineRule="exact"/>
              <w:jc w:val="center"/>
              <w:rPr>
                <w:rFonts w:ascii="仿宋_GB2312" w:hAnsi="宋体" w:eastAsia="仿宋_GB2312"/>
                <w:color w:val="000000"/>
                <w:sz w:val="18"/>
                <w:szCs w:val="18"/>
              </w:rPr>
            </w:pPr>
          </w:p>
        </w:tc>
        <w:tc>
          <w:tcPr>
            <w:tcW w:w="574"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22"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65" w:type="dxa"/>
            <w:vAlign w:val="center"/>
          </w:tcPr>
          <w:p>
            <w:pPr>
              <w:widowControl/>
              <w:spacing w:line="240" w:lineRule="exact"/>
              <w:jc w:val="center"/>
              <w:rPr>
                <w:rFonts w:ascii="Times New Roman" w:hAnsi="Times New Roman"/>
                <w:color w:val="000000"/>
                <w:kern w:val="0"/>
                <w:sz w:val="16"/>
                <w:szCs w:val="16"/>
              </w:rPr>
            </w:pPr>
            <w:r>
              <w:rPr>
                <w:rFonts w:hint="eastAsia" w:ascii="Times New Roman" w:hAnsi="Times New Roman"/>
                <w:color w:val="000000"/>
                <w:kern w:val="0"/>
                <w:sz w:val="16"/>
                <w:szCs w:val="16"/>
              </w:rPr>
              <w:t>7</w:t>
            </w:r>
          </w:p>
        </w:tc>
        <w:tc>
          <w:tcPr>
            <w:tcW w:w="261" w:type="dxa"/>
            <w:vMerge w:val="continue"/>
            <w:vAlign w:val="center"/>
          </w:tcPr>
          <w:p>
            <w:pPr>
              <w:spacing w:line="240" w:lineRule="exact"/>
              <w:jc w:val="center"/>
              <w:rPr>
                <w:rFonts w:ascii="仿宋_GB2312" w:hAnsi="宋体" w:eastAsia="仿宋_GB2312"/>
                <w:color w:val="000000"/>
                <w:sz w:val="18"/>
                <w:szCs w:val="18"/>
              </w:rPr>
            </w:pPr>
          </w:p>
        </w:tc>
        <w:tc>
          <w:tcPr>
            <w:tcW w:w="545" w:type="dxa"/>
            <w:vMerge w:val="continue"/>
            <w:shd w:val="clear" w:color="auto" w:fill="auto"/>
            <w:vAlign w:val="center"/>
          </w:tcPr>
          <w:p>
            <w:pPr>
              <w:spacing w:line="240" w:lineRule="exact"/>
              <w:jc w:val="center"/>
              <w:rPr>
                <w:rFonts w:ascii="仿宋_GB2312" w:hAnsi="宋体" w:eastAsia="仿宋_GB2312"/>
                <w:color w:val="000000"/>
                <w:sz w:val="18"/>
                <w:szCs w:val="18"/>
              </w:rPr>
            </w:pPr>
          </w:p>
        </w:tc>
        <w:tc>
          <w:tcPr>
            <w:tcW w:w="892"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农村危房改造对象申请条件</w:t>
            </w:r>
          </w:p>
        </w:tc>
        <w:tc>
          <w:tcPr>
            <w:tcW w:w="2008"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农村危房改造农户申请条件</w:t>
            </w:r>
          </w:p>
        </w:tc>
        <w:tc>
          <w:tcPr>
            <w:tcW w:w="3662" w:type="dxa"/>
            <w:vAlign w:val="center"/>
          </w:tcPr>
          <w:p>
            <w:pPr>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tc>
        <w:tc>
          <w:tcPr>
            <w:tcW w:w="1276"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559" w:type="dxa"/>
            <w:vAlign w:val="center"/>
          </w:tcPr>
          <w:p>
            <w:pPr>
              <w:widowControl/>
              <w:spacing w:line="240" w:lineRule="exact"/>
              <w:rPr>
                <w:rFonts w:ascii="黑体" w:hAnsi="宋体" w:eastAsia="黑体" w:cs="宋体"/>
                <w:color w:val="000000"/>
                <w:kern w:val="0"/>
                <w:sz w:val="22"/>
              </w:rPr>
            </w:pPr>
            <w:r>
              <w:rPr>
                <w:rFonts w:hint="eastAsia" w:ascii="仿宋_GB2312" w:hAnsi="宋体" w:eastAsia="仿宋_GB2312"/>
                <w:color w:val="000000"/>
                <w:sz w:val="18"/>
                <w:szCs w:val="18"/>
              </w:rPr>
              <w:t>住房和城乡建设局</w:t>
            </w:r>
          </w:p>
        </w:tc>
        <w:tc>
          <w:tcPr>
            <w:tcW w:w="1684" w:type="dxa"/>
            <w:vAlign w:val="center"/>
          </w:tcPr>
          <w:p>
            <w:pPr>
              <w:widowControl/>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■乡镇公示栏</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■村公示栏</w:t>
            </w:r>
          </w:p>
        </w:tc>
        <w:tc>
          <w:tcPr>
            <w:tcW w:w="574"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75" w:type="dxa"/>
            <w:shd w:val="clear" w:color="auto" w:fill="auto"/>
            <w:vAlign w:val="center"/>
          </w:tcPr>
          <w:p>
            <w:pPr>
              <w:spacing w:line="240" w:lineRule="exact"/>
              <w:jc w:val="center"/>
              <w:rPr>
                <w:rFonts w:ascii="仿宋_GB2312" w:hAnsi="宋体" w:eastAsia="仿宋_GB2312"/>
                <w:color w:val="000000"/>
                <w:sz w:val="18"/>
                <w:szCs w:val="18"/>
              </w:rPr>
            </w:pPr>
          </w:p>
        </w:tc>
        <w:tc>
          <w:tcPr>
            <w:tcW w:w="574"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8" w:type="dxa"/>
            <w:shd w:val="clear" w:color="auto" w:fill="auto"/>
            <w:vAlign w:val="center"/>
          </w:tcPr>
          <w:p>
            <w:pPr>
              <w:spacing w:line="240" w:lineRule="exact"/>
              <w:jc w:val="center"/>
              <w:rPr>
                <w:rFonts w:ascii="仿宋_GB2312" w:hAnsi="宋体" w:eastAsia="仿宋_GB2312"/>
                <w:color w:val="000000"/>
                <w:sz w:val="18"/>
                <w:szCs w:val="18"/>
              </w:rPr>
            </w:pPr>
          </w:p>
        </w:tc>
        <w:tc>
          <w:tcPr>
            <w:tcW w:w="574"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22"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85" w:hRule="atLeast"/>
          <w:jc w:val="center"/>
        </w:trPr>
        <w:tc>
          <w:tcPr>
            <w:tcW w:w="565" w:type="dxa"/>
            <w:vAlign w:val="center"/>
          </w:tcPr>
          <w:p>
            <w:pPr>
              <w:widowControl/>
              <w:spacing w:line="240" w:lineRule="exact"/>
              <w:jc w:val="center"/>
              <w:rPr>
                <w:rFonts w:ascii="Times New Roman" w:hAnsi="Times New Roman"/>
                <w:color w:val="000000"/>
                <w:kern w:val="0"/>
                <w:sz w:val="16"/>
                <w:szCs w:val="16"/>
              </w:rPr>
            </w:pPr>
            <w:r>
              <w:rPr>
                <w:rFonts w:hint="eastAsia" w:ascii="Times New Roman" w:hAnsi="Times New Roman"/>
                <w:color w:val="000000"/>
                <w:kern w:val="0"/>
                <w:sz w:val="16"/>
                <w:szCs w:val="16"/>
              </w:rPr>
              <w:t>8</w:t>
            </w:r>
          </w:p>
        </w:tc>
        <w:tc>
          <w:tcPr>
            <w:tcW w:w="261" w:type="dxa"/>
            <w:vMerge w:val="restart"/>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管理</w:t>
            </w:r>
          </w:p>
        </w:tc>
        <w:tc>
          <w:tcPr>
            <w:tcW w:w="545"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条件与标准</w:t>
            </w:r>
          </w:p>
        </w:tc>
        <w:tc>
          <w:tcPr>
            <w:tcW w:w="892"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2008"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农村危房改造资金补助标准</w:t>
            </w:r>
          </w:p>
        </w:tc>
        <w:tc>
          <w:tcPr>
            <w:tcW w:w="3662" w:type="dxa"/>
            <w:vAlign w:val="center"/>
          </w:tcPr>
          <w:p>
            <w:pPr>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tc>
        <w:tc>
          <w:tcPr>
            <w:tcW w:w="1276"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559" w:type="dxa"/>
            <w:vAlign w:val="center"/>
          </w:tcPr>
          <w:p>
            <w:pPr>
              <w:widowControl/>
              <w:spacing w:line="240" w:lineRule="exact"/>
              <w:rPr>
                <w:rFonts w:ascii="黑体" w:hAnsi="宋体" w:eastAsia="黑体" w:cs="宋体"/>
                <w:color w:val="000000"/>
                <w:kern w:val="0"/>
                <w:sz w:val="22"/>
              </w:rPr>
            </w:pPr>
            <w:r>
              <w:rPr>
                <w:rFonts w:hint="eastAsia" w:ascii="仿宋_GB2312" w:hAnsi="宋体" w:eastAsia="仿宋_GB2312"/>
                <w:color w:val="000000"/>
                <w:sz w:val="18"/>
                <w:szCs w:val="18"/>
              </w:rPr>
              <w:t>住房和城乡建设局</w:t>
            </w:r>
          </w:p>
        </w:tc>
        <w:tc>
          <w:tcPr>
            <w:tcW w:w="1684" w:type="dxa"/>
            <w:vAlign w:val="center"/>
          </w:tcPr>
          <w:p>
            <w:pPr>
              <w:widowControl/>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■乡镇公示栏</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■村公示栏</w:t>
            </w:r>
          </w:p>
        </w:tc>
        <w:tc>
          <w:tcPr>
            <w:tcW w:w="574"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75" w:type="dxa"/>
            <w:shd w:val="clear" w:color="auto" w:fill="auto"/>
            <w:vAlign w:val="center"/>
          </w:tcPr>
          <w:p>
            <w:pPr>
              <w:spacing w:line="240" w:lineRule="exact"/>
              <w:jc w:val="center"/>
              <w:rPr>
                <w:rFonts w:ascii="仿宋_GB2312" w:hAnsi="宋体" w:eastAsia="仿宋_GB2312"/>
                <w:color w:val="000000"/>
                <w:sz w:val="18"/>
                <w:szCs w:val="18"/>
              </w:rPr>
            </w:pPr>
          </w:p>
        </w:tc>
        <w:tc>
          <w:tcPr>
            <w:tcW w:w="574"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8" w:type="dxa"/>
            <w:shd w:val="clear" w:color="auto" w:fill="auto"/>
            <w:vAlign w:val="center"/>
          </w:tcPr>
          <w:p>
            <w:pPr>
              <w:spacing w:line="240" w:lineRule="exact"/>
              <w:jc w:val="center"/>
              <w:rPr>
                <w:rFonts w:ascii="仿宋_GB2312" w:hAnsi="宋体" w:eastAsia="仿宋_GB2312"/>
                <w:color w:val="000000"/>
                <w:sz w:val="18"/>
                <w:szCs w:val="18"/>
              </w:rPr>
            </w:pPr>
          </w:p>
        </w:tc>
        <w:tc>
          <w:tcPr>
            <w:tcW w:w="574"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22"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47" w:hRule="atLeast"/>
          <w:jc w:val="center"/>
        </w:trPr>
        <w:tc>
          <w:tcPr>
            <w:tcW w:w="565" w:type="dxa"/>
            <w:vAlign w:val="center"/>
          </w:tcPr>
          <w:p>
            <w:pPr>
              <w:widowControl/>
              <w:spacing w:line="240" w:lineRule="exact"/>
              <w:jc w:val="center"/>
              <w:rPr>
                <w:rFonts w:ascii="Times New Roman" w:hAnsi="Times New Roman"/>
                <w:color w:val="000000"/>
                <w:kern w:val="0"/>
                <w:sz w:val="16"/>
                <w:szCs w:val="16"/>
              </w:rPr>
            </w:pPr>
            <w:r>
              <w:rPr>
                <w:rFonts w:hint="eastAsia" w:ascii="Times New Roman" w:hAnsi="Times New Roman"/>
                <w:color w:val="000000"/>
                <w:kern w:val="0"/>
                <w:sz w:val="16"/>
                <w:szCs w:val="16"/>
              </w:rPr>
              <w:t>9</w:t>
            </w:r>
          </w:p>
        </w:tc>
        <w:tc>
          <w:tcPr>
            <w:tcW w:w="261" w:type="dxa"/>
            <w:vMerge w:val="continue"/>
            <w:vAlign w:val="center"/>
          </w:tcPr>
          <w:p>
            <w:pPr>
              <w:spacing w:line="240" w:lineRule="exact"/>
              <w:jc w:val="center"/>
              <w:rPr>
                <w:rFonts w:ascii="仿宋_GB2312" w:hAnsi="宋体" w:eastAsia="仿宋_GB2312"/>
                <w:color w:val="000000"/>
                <w:sz w:val="18"/>
                <w:szCs w:val="18"/>
              </w:rPr>
            </w:pPr>
          </w:p>
        </w:tc>
        <w:tc>
          <w:tcPr>
            <w:tcW w:w="545" w:type="dxa"/>
            <w:vMerge w:val="continue"/>
            <w:shd w:val="clear" w:color="auto" w:fill="auto"/>
            <w:vAlign w:val="center"/>
          </w:tcPr>
          <w:p>
            <w:pPr>
              <w:spacing w:line="240" w:lineRule="exact"/>
              <w:jc w:val="center"/>
              <w:rPr>
                <w:rFonts w:ascii="仿宋_GB2312" w:hAnsi="宋体" w:eastAsia="仿宋_GB2312"/>
                <w:color w:val="000000"/>
                <w:sz w:val="18"/>
                <w:szCs w:val="18"/>
              </w:rPr>
            </w:pPr>
          </w:p>
        </w:tc>
        <w:tc>
          <w:tcPr>
            <w:tcW w:w="892"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农村危房改造竣工合格标准</w:t>
            </w:r>
          </w:p>
        </w:tc>
        <w:tc>
          <w:tcPr>
            <w:tcW w:w="2008"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农村危房改造竣工验收要求</w:t>
            </w:r>
          </w:p>
        </w:tc>
        <w:tc>
          <w:tcPr>
            <w:tcW w:w="3662" w:type="dxa"/>
            <w:vAlign w:val="center"/>
          </w:tcPr>
          <w:p>
            <w:pPr>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tc>
        <w:tc>
          <w:tcPr>
            <w:tcW w:w="1276"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559" w:type="dxa"/>
            <w:vAlign w:val="center"/>
          </w:tcPr>
          <w:p>
            <w:pPr>
              <w:widowControl/>
              <w:spacing w:line="240" w:lineRule="exact"/>
              <w:rPr>
                <w:rFonts w:ascii="黑体" w:hAnsi="宋体" w:eastAsia="黑体" w:cs="宋体"/>
                <w:color w:val="000000"/>
                <w:kern w:val="0"/>
                <w:sz w:val="22"/>
              </w:rPr>
            </w:pPr>
            <w:r>
              <w:rPr>
                <w:rFonts w:hint="eastAsia" w:ascii="仿宋_GB2312" w:hAnsi="宋体" w:eastAsia="仿宋_GB2312"/>
                <w:color w:val="000000"/>
                <w:sz w:val="18"/>
                <w:szCs w:val="18"/>
              </w:rPr>
              <w:t>住房和城乡建设局</w:t>
            </w:r>
          </w:p>
        </w:tc>
        <w:tc>
          <w:tcPr>
            <w:tcW w:w="1684" w:type="dxa"/>
            <w:vAlign w:val="center"/>
          </w:tcPr>
          <w:p>
            <w:pPr>
              <w:widowControl/>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■乡镇公示栏</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■村公示栏</w:t>
            </w:r>
          </w:p>
        </w:tc>
        <w:tc>
          <w:tcPr>
            <w:tcW w:w="574"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75" w:type="dxa"/>
            <w:shd w:val="clear" w:color="auto" w:fill="auto"/>
            <w:vAlign w:val="center"/>
          </w:tcPr>
          <w:p>
            <w:pPr>
              <w:spacing w:line="240" w:lineRule="exact"/>
              <w:jc w:val="center"/>
              <w:rPr>
                <w:rFonts w:ascii="仿宋_GB2312" w:hAnsi="宋体" w:eastAsia="仿宋_GB2312"/>
                <w:color w:val="000000"/>
                <w:sz w:val="18"/>
                <w:szCs w:val="18"/>
              </w:rPr>
            </w:pPr>
          </w:p>
        </w:tc>
        <w:tc>
          <w:tcPr>
            <w:tcW w:w="574"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8" w:type="dxa"/>
            <w:shd w:val="clear" w:color="auto" w:fill="auto"/>
            <w:vAlign w:val="center"/>
          </w:tcPr>
          <w:p>
            <w:pPr>
              <w:spacing w:line="240" w:lineRule="exact"/>
              <w:jc w:val="center"/>
              <w:rPr>
                <w:rFonts w:ascii="仿宋_GB2312" w:hAnsi="宋体" w:eastAsia="仿宋_GB2312"/>
                <w:color w:val="000000"/>
                <w:sz w:val="18"/>
                <w:szCs w:val="18"/>
              </w:rPr>
            </w:pPr>
          </w:p>
        </w:tc>
        <w:tc>
          <w:tcPr>
            <w:tcW w:w="574"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22"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625" w:hRule="atLeast"/>
          <w:jc w:val="center"/>
        </w:trPr>
        <w:tc>
          <w:tcPr>
            <w:tcW w:w="565" w:type="dxa"/>
            <w:vAlign w:val="center"/>
          </w:tcPr>
          <w:p>
            <w:pPr>
              <w:widowControl/>
              <w:spacing w:line="240" w:lineRule="exact"/>
              <w:jc w:val="center"/>
              <w:rPr>
                <w:rFonts w:ascii="Times New Roman" w:hAnsi="Times New Roman"/>
                <w:color w:val="000000"/>
                <w:kern w:val="0"/>
                <w:sz w:val="16"/>
                <w:szCs w:val="16"/>
              </w:rPr>
            </w:pPr>
            <w:r>
              <w:rPr>
                <w:rFonts w:hint="eastAsia" w:ascii="Times New Roman" w:hAnsi="Times New Roman"/>
                <w:color w:val="000000"/>
                <w:kern w:val="0"/>
                <w:sz w:val="16"/>
                <w:szCs w:val="16"/>
              </w:rPr>
              <w:t>10</w:t>
            </w:r>
          </w:p>
        </w:tc>
        <w:tc>
          <w:tcPr>
            <w:tcW w:w="261" w:type="dxa"/>
            <w:vMerge w:val="continue"/>
            <w:vAlign w:val="center"/>
          </w:tcPr>
          <w:p>
            <w:pPr>
              <w:spacing w:line="240" w:lineRule="exact"/>
              <w:jc w:val="center"/>
              <w:rPr>
                <w:rFonts w:ascii="仿宋_GB2312" w:hAnsi="宋体" w:eastAsia="仿宋_GB2312"/>
                <w:color w:val="000000"/>
                <w:sz w:val="18"/>
                <w:szCs w:val="18"/>
              </w:rPr>
            </w:pPr>
          </w:p>
        </w:tc>
        <w:tc>
          <w:tcPr>
            <w:tcW w:w="545"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对象认定</w:t>
            </w:r>
          </w:p>
        </w:tc>
        <w:tc>
          <w:tcPr>
            <w:tcW w:w="892" w:type="dxa"/>
            <w:shd w:val="clear" w:color="auto" w:fill="auto"/>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危改户认定程序</w:t>
            </w:r>
          </w:p>
        </w:tc>
        <w:tc>
          <w:tcPr>
            <w:tcW w:w="2008"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农村危房改造申请程序</w:t>
            </w:r>
          </w:p>
        </w:tc>
        <w:tc>
          <w:tcPr>
            <w:tcW w:w="3662" w:type="dxa"/>
            <w:vAlign w:val="center"/>
          </w:tcPr>
          <w:p>
            <w:pPr>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tc>
        <w:tc>
          <w:tcPr>
            <w:tcW w:w="1276"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559" w:type="dxa"/>
            <w:vAlign w:val="center"/>
          </w:tcPr>
          <w:p>
            <w:pPr>
              <w:widowControl/>
              <w:spacing w:line="240" w:lineRule="exact"/>
              <w:rPr>
                <w:rFonts w:ascii="黑体" w:hAnsi="宋体" w:eastAsia="黑体" w:cs="宋体"/>
                <w:color w:val="000000"/>
                <w:kern w:val="0"/>
                <w:sz w:val="22"/>
              </w:rPr>
            </w:pPr>
            <w:r>
              <w:rPr>
                <w:rFonts w:hint="eastAsia" w:ascii="仿宋_GB2312" w:hAnsi="宋体" w:eastAsia="仿宋_GB2312"/>
                <w:color w:val="000000"/>
                <w:sz w:val="18"/>
                <w:szCs w:val="18"/>
              </w:rPr>
              <w:t>住房和城乡建设局</w:t>
            </w:r>
          </w:p>
        </w:tc>
        <w:tc>
          <w:tcPr>
            <w:tcW w:w="1684" w:type="dxa"/>
            <w:vAlign w:val="center"/>
          </w:tcPr>
          <w:p>
            <w:pPr>
              <w:widowControl/>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■乡镇公示栏</w:t>
            </w:r>
          </w:p>
          <w:p>
            <w:pPr>
              <w:widowControl/>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■村公示栏</w:t>
            </w:r>
          </w:p>
        </w:tc>
        <w:tc>
          <w:tcPr>
            <w:tcW w:w="574"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75" w:type="dxa"/>
            <w:shd w:val="clear" w:color="auto" w:fill="auto"/>
            <w:vAlign w:val="center"/>
          </w:tcPr>
          <w:p>
            <w:pPr>
              <w:spacing w:line="240" w:lineRule="exact"/>
              <w:jc w:val="center"/>
              <w:rPr>
                <w:rFonts w:ascii="仿宋_GB2312" w:hAnsi="宋体" w:eastAsia="仿宋_GB2312"/>
                <w:color w:val="000000"/>
                <w:sz w:val="18"/>
                <w:szCs w:val="18"/>
              </w:rPr>
            </w:pPr>
          </w:p>
        </w:tc>
        <w:tc>
          <w:tcPr>
            <w:tcW w:w="574"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8" w:type="dxa"/>
            <w:shd w:val="clear" w:color="auto" w:fill="auto"/>
            <w:vAlign w:val="center"/>
          </w:tcPr>
          <w:p>
            <w:pPr>
              <w:spacing w:line="240" w:lineRule="exact"/>
              <w:jc w:val="center"/>
              <w:rPr>
                <w:rFonts w:ascii="仿宋_GB2312" w:hAnsi="宋体" w:eastAsia="仿宋_GB2312"/>
                <w:color w:val="000000"/>
                <w:sz w:val="18"/>
                <w:szCs w:val="18"/>
              </w:rPr>
            </w:pPr>
          </w:p>
        </w:tc>
        <w:tc>
          <w:tcPr>
            <w:tcW w:w="574"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22"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65" w:type="dxa"/>
            <w:vAlign w:val="center"/>
          </w:tcPr>
          <w:p>
            <w:pPr>
              <w:widowControl/>
              <w:spacing w:line="240" w:lineRule="exact"/>
              <w:jc w:val="center"/>
              <w:rPr>
                <w:rFonts w:ascii="Times New Roman" w:hAnsi="Times New Roman"/>
                <w:color w:val="000000"/>
                <w:kern w:val="0"/>
                <w:sz w:val="16"/>
                <w:szCs w:val="16"/>
              </w:rPr>
            </w:pPr>
            <w:r>
              <w:rPr>
                <w:rFonts w:hint="eastAsia" w:ascii="Times New Roman" w:hAnsi="Times New Roman"/>
                <w:color w:val="000000"/>
                <w:kern w:val="0"/>
                <w:sz w:val="16"/>
                <w:szCs w:val="16"/>
              </w:rPr>
              <w:t>11</w:t>
            </w:r>
          </w:p>
        </w:tc>
        <w:tc>
          <w:tcPr>
            <w:tcW w:w="261" w:type="dxa"/>
            <w:vMerge w:val="continue"/>
            <w:vAlign w:val="center"/>
          </w:tcPr>
          <w:p>
            <w:pPr>
              <w:spacing w:line="240" w:lineRule="exact"/>
              <w:jc w:val="center"/>
              <w:rPr>
                <w:rFonts w:ascii="仿宋_GB2312" w:hAnsi="宋体" w:eastAsia="仿宋_GB2312"/>
                <w:color w:val="000000"/>
                <w:sz w:val="18"/>
                <w:szCs w:val="18"/>
              </w:rPr>
            </w:pPr>
          </w:p>
        </w:tc>
        <w:tc>
          <w:tcPr>
            <w:tcW w:w="545" w:type="dxa"/>
            <w:vMerge w:val="continue"/>
            <w:shd w:val="clear" w:color="auto" w:fill="auto"/>
            <w:vAlign w:val="center"/>
          </w:tcPr>
          <w:p>
            <w:pPr>
              <w:spacing w:line="240" w:lineRule="exact"/>
              <w:jc w:val="center"/>
              <w:rPr>
                <w:rFonts w:ascii="仿宋_GB2312" w:hAnsi="宋体" w:eastAsia="仿宋_GB2312"/>
                <w:color w:val="000000"/>
                <w:sz w:val="18"/>
                <w:szCs w:val="18"/>
              </w:rPr>
            </w:pPr>
          </w:p>
        </w:tc>
        <w:tc>
          <w:tcPr>
            <w:tcW w:w="892"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2008"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认定结果</w:t>
            </w:r>
          </w:p>
        </w:tc>
        <w:tc>
          <w:tcPr>
            <w:tcW w:w="3662" w:type="dxa"/>
            <w:vAlign w:val="center"/>
          </w:tcPr>
          <w:p>
            <w:pPr>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tc>
        <w:tc>
          <w:tcPr>
            <w:tcW w:w="1276"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559" w:type="dxa"/>
            <w:vAlign w:val="center"/>
          </w:tcPr>
          <w:p>
            <w:pPr>
              <w:spacing w:line="240" w:lineRule="exact"/>
              <w:rPr>
                <w:rFonts w:ascii="仿宋_GB2312" w:hAnsi="宋体" w:eastAsia="仿宋_GB2312"/>
                <w:color w:val="000000"/>
                <w:sz w:val="18"/>
                <w:szCs w:val="18"/>
              </w:rPr>
            </w:pPr>
            <w:bookmarkStart w:id="1" w:name="_GoBack"/>
            <w:bookmarkEnd w:id="1"/>
            <w:r>
              <w:rPr>
                <w:rFonts w:hint="eastAsia" w:ascii="仿宋_GB2312" w:hAnsi="宋体" w:eastAsia="仿宋_GB2312"/>
                <w:color w:val="000000"/>
                <w:sz w:val="18"/>
                <w:szCs w:val="18"/>
                <w:lang w:val="en-US" w:eastAsia="zh-CN"/>
              </w:rPr>
              <w:t>龙山乡</w:t>
            </w:r>
            <w:r>
              <w:rPr>
                <w:rFonts w:hint="eastAsia" w:ascii="仿宋_GB2312" w:hAnsi="宋体" w:eastAsia="仿宋_GB2312"/>
                <w:color w:val="000000"/>
                <w:sz w:val="18"/>
                <w:szCs w:val="18"/>
              </w:rPr>
              <w:t>人民政府、村委会</w:t>
            </w:r>
          </w:p>
        </w:tc>
        <w:tc>
          <w:tcPr>
            <w:tcW w:w="1684" w:type="dxa"/>
            <w:vAlign w:val="center"/>
          </w:tcPr>
          <w:p>
            <w:pPr>
              <w:widowControl/>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■乡镇公示栏</w:t>
            </w:r>
          </w:p>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■村公示栏</w:t>
            </w:r>
          </w:p>
        </w:tc>
        <w:tc>
          <w:tcPr>
            <w:tcW w:w="574"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75" w:type="dxa"/>
            <w:shd w:val="clear" w:color="auto" w:fill="auto"/>
            <w:vAlign w:val="center"/>
          </w:tcPr>
          <w:p>
            <w:pPr>
              <w:spacing w:line="240" w:lineRule="exact"/>
              <w:jc w:val="center"/>
              <w:rPr>
                <w:rFonts w:ascii="仿宋_GB2312" w:hAnsi="宋体" w:eastAsia="仿宋_GB2312"/>
                <w:color w:val="000000"/>
                <w:sz w:val="18"/>
                <w:szCs w:val="18"/>
              </w:rPr>
            </w:pPr>
          </w:p>
        </w:tc>
        <w:tc>
          <w:tcPr>
            <w:tcW w:w="574"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8" w:type="dxa"/>
            <w:shd w:val="clear" w:color="auto" w:fill="auto"/>
            <w:vAlign w:val="center"/>
          </w:tcPr>
          <w:p>
            <w:pPr>
              <w:spacing w:line="240" w:lineRule="exact"/>
              <w:jc w:val="center"/>
              <w:rPr>
                <w:rFonts w:ascii="仿宋_GB2312" w:hAnsi="宋体" w:eastAsia="仿宋_GB2312"/>
                <w:color w:val="000000"/>
                <w:sz w:val="18"/>
                <w:szCs w:val="18"/>
              </w:rPr>
            </w:pPr>
          </w:p>
        </w:tc>
        <w:tc>
          <w:tcPr>
            <w:tcW w:w="574" w:type="dxa"/>
            <w:shd w:val="clear" w:color="auto" w:fill="auto"/>
            <w:vAlign w:val="center"/>
          </w:tcPr>
          <w:p>
            <w:pPr>
              <w:spacing w:line="240" w:lineRule="exact"/>
              <w:jc w:val="center"/>
              <w:rPr>
                <w:rFonts w:ascii="仿宋_GB2312" w:hAnsi="宋体" w:eastAsia="仿宋_GB2312"/>
                <w:color w:val="000000"/>
                <w:sz w:val="18"/>
                <w:szCs w:val="18"/>
              </w:rPr>
            </w:pPr>
          </w:p>
        </w:tc>
        <w:tc>
          <w:tcPr>
            <w:tcW w:w="522"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553" w:hRule="atLeast"/>
          <w:jc w:val="center"/>
        </w:trPr>
        <w:tc>
          <w:tcPr>
            <w:tcW w:w="565" w:type="dxa"/>
            <w:vAlign w:val="center"/>
          </w:tcPr>
          <w:p>
            <w:pPr>
              <w:widowControl/>
              <w:spacing w:line="240" w:lineRule="exact"/>
              <w:jc w:val="center"/>
              <w:rPr>
                <w:rFonts w:ascii="Times New Roman" w:hAnsi="Times New Roman"/>
                <w:color w:val="000000"/>
                <w:kern w:val="0"/>
                <w:sz w:val="16"/>
                <w:szCs w:val="16"/>
              </w:rPr>
            </w:pPr>
            <w:r>
              <w:rPr>
                <w:rFonts w:hint="eastAsia" w:ascii="Times New Roman" w:hAnsi="Times New Roman"/>
                <w:color w:val="000000"/>
                <w:kern w:val="0"/>
                <w:sz w:val="16"/>
                <w:szCs w:val="16"/>
              </w:rPr>
              <w:t>12</w:t>
            </w:r>
          </w:p>
        </w:tc>
        <w:tc>
          <w:tcPr>
            <w:tcW w:w="261" w:type="dxa"/>
            <w:vMerge w:val="continue"/>
            <w:vAlign w:val="center"/>
          </w:tcPr>
          <w:p>
            <w:pPr>
              <w:spacing w:line="240" w:lineRule="exact"/>
              <w:jc w:val="center"/>
              <w:rPr>
                <w:rFonts w:ascii="仿宋_GB2312" w:hAnsi="宋体" w:eastAsia="仿宋_GB2312"/>
                <w:color w:val="000000"/>
                <w:sz w:val="18"/>
                <w:szCs w:val="18"/>
              </w:rPr>
            </w:pPr>
          </w:p>
        </w:tc>
        <w:tc>
          <w:tcPr>
            <w:tcW w:w="545"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预算管理</w:t>
            </w:r>
          </w:p>
        </w:tc>
        <w:tc>
          <w:tcPr>
            <w:tcW w:w="892" w:type="dxa"/>
            <w:shd w:val="clear" w:color="auto" w:fill="auto"/>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预算编制和执行情况</w:t>
            </w:r>
          </w:p>
        </w:tc>
        <w:tc>
          <w:tcPr>
            <w:tcW w:w="2008"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预算、预算调整、决算、预算执行情况的报告及报表有关内容，部门预算、决算及报表有关内容</w:t>
            </w:r>
          </w:p>
        </w:tc>
        <w:tc>
          <w:tcPr>
            <w:tcW w:w="3662" w:type="dxa"/>
            <w:vAlign w:val="center"/>
          </w:tcPr>
          <w:p>
            <w:pPr>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《预算法》、《政府信息公开条例》、《住房城乡建设部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tc>
        <w:tc>
          <w:tcPr>
            <w:tcW w:w="1276"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经县级人民代表大会、人民代表大会常务委员会批准或财政部门批复后20日内</w:t>
            </w:r>
          </w:p>
        </w:tc>
        <w:tc>
          <w:tcPr>
            <w:tcW w:w="1559" w:type="dxa"/>
            <w:vAlign w:val="center"/>
          </w:tcPr>
          <w:p>
            <w:pPr>
              <w:widowControl/>
              <w:spacing w:line="240" w:lineRule="exact"/>
              <w:rPr>
                <w:rFonts w:ascii="黑体" w:hAnsi="宋体" w:eastAsia="黑体" w:cs="宋体"/>
                <w:color w:val="000000"/>
                <w:kern w:val="0"/>
                <w:sz w:val="22"/>
              </w:rPr>
            </w:pPr>
            <w:r>
              <w:rPr>
                <w:rFonts w:hint="eastAsia" w:ascii="仿宋_GB2312" w:hAnsi="宋体" w:eastAsia="仿宋_GB2312"/>
                <w:color w:val="000000"/>
                <w:sz w:val="18"/>
                <w:szCs w:val="18"/>
              </w:rPr>
              <w:t>住房和城乡建设局</w:t>
            </w:r>
          </w:p>
        </w:tc>
        <w:tc>
          <w:tcPr>
            <w:tcW w:w="1684"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tc>
        <w:tc>
          <w:tcPr>
            <w:tcW w:w="574"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75" w:type="dxa"/>
            <w:shd w:val="clear" w:color="auto" w:fill="auto"/>
            <w:vAlign w:val="center"/>
          </w:tcPr>
          <w:p>
            <w:pPr>
              <w:spacing w:line="240" w:lineRule="exact"/>
              <w:jc w:val="center"/>
              <w:rPr>
                <w:rFonts w:ascii="仿宋_GB2312" w:hAnsi="宋体" w:eastAsia="仿宋_GB2312"/>
                <w:color w:val="000000"/>
                <w:sz w:val="18"/>
                <w:szCs w:val="18"/>
              </w:rPr>
            </w:pPr>
          </w:p>
        </w:tc>
        <w:tc>
          <w:tcPr>
            <w:tcW w:w="574"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8" w:type="dxa"/>
            <w:shd w:val="clear" w:color="auto" w:fill="auto"/>
            <w:vAlign w:val="center"/>
          </w:tcPr>
          <w:p>
            <w:pPr>
              <w:spacing w:line="240" w:lineRule="exact"/>
              <w:jc w:val="center"/>
              <w:rPr>
                <w:rFonts w:ascii="仿宋_GB2312" w:hAnsi="宋体" w:eastAsia="仿宋_GB2312"/>
                <w:color w:val="000000"/>
                <w:sz w:val="18"/>
                <w:szCs w:val="18"/>
              </w:rPr>
            </w:pPr>
          </w:p>
        </w:tc>
        <w:tc>
          <w:tcPr>
            <w:tcW w:w="574"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22" w:type="dxa"/>
            <w:shd w:val="clear" w:color="auto" w:fill="auto"/>
            <w:vAlign w:val="center"/>
          </w:tcPr>
          <w:p>
            <w:pPr>
              <w:spacing w:line="240" w:lineRule="exact"/>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80" w:hRule="atLeast"/>
          <w:jc w:val="center"/>
        </w:trPr>
        <w:tc>
          <w:tcPr>
            <w:tcW w:w="565" w:type="dxa"/>
            <w:vAlign w:val="center"/>
          </w:tcPr>
          <w:p>
            <w:pPr>
              <w:widowControl/>
              <w:spacing w:line="240" w:lineRule="exact"/>
              <w:jc w:val="center"/>
              <w:rPr>
                <w:rFonts w:ascii="Times New Roman" w:hAnsi="Times New Roman"/>
                <w:color w:val="000000"/>
                <w:kern w:val="0"/>
                <w:sz w:val="16"/>
                <w:szCs w:val="16"/>
              </w:rPr>
            </w:pPr>
            <w:r>
              <w:rPr>
                <w:rFonts w:hint="eastAsia" w:ascii="Times New Roman" w:hAnsi="Times New Roman"/>
                <w:color w:val="000000"/>
                <w:kern w:val="0"/>
                <w:sz w:val="16"/>
                <w:szCs w:val="16"/>
              </w:rPr>
              <w:t>13</w:t>
            </w:r>
          </w:p>
        </w:tc>
        <w:tc>
          <w:tcPr>
            <w:tcW w:w="261" w:type="dxa"/>
            <w:vMerge w:val="restart"/>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结果</w:t>
            </w:r>
          </w:p>
        </w:tc>
        <w:tc>
          <w:tcPr>
            <w:tcW w:w="545"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决策部署</w:t>
            </w:r>
          </w:p>
        </w:tc>
        <w:tc>
          <w:tcPr>
            <w:tcW w:w="892"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决策部署落实情况</w:t>
            </w:r>
          </w:p>
        </w:tc>
        <w:tc>
          <w:tcPr>
            <w:tcW w:w="2008"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决策部署落实情况等</w:t>
            </w:r>
          </w:p>
        </w:tc>
        <w:tc>
          <w:tcPr>
            <w:tcW w:w="3662" w:type="dxa"/>
            <w:vMerge w:val="restart"/>
            <w:vAlign w:val="center"/>
          </w:tcPr>
          <w:p>
            <w:pPr>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《中共中央办公厅国务院办公厅印发〈关于全面推进政务公开工作的意见〉的通知》</w:t>
            </w:r>
          </w:p>
          <w:p>
            <w:pPr>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、《国务院办公厅印发〈关于全面推进政务公开工作的意见〉实施细则的通知》</w:t>
            </w:r>
          </w:p>
        </w:tc>
        <w:tc>
          <w:tcPr>
            <w:tcW w:w="1276"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559" w:type="dxa"/>
            <w:vAlign w:val="center"/>
          </w:tcPr>
          <w:p>
            <w:pPr>
              <w:widowControl/>
              <w:spacing w:line="240" w:lineRule="exact"/>
              <w:rPr>
                <w:rFonts w:ascii="黑体" w:hAnsi="宋体" w:eastAsia="黑体" w:cs="宋体"/>
                <w:color w:val="000000"/>
                <w:kern w:val="0"/>
                <w:sz w:val="22"/>
              </w:rPr>
            </w:pPr>
            <w:r>
              <w:rPr>
                <w:rFonts w:hint="eastAsia" w:ascii="仿宋_GB2312" w:hAnsi="宋体" w:eastAsia="仿宋_GB2312"/>
                <w:color w:val="000000"/>
                <w:sz w:val="18"/>
                <w:szCs w:val="18"/>
              </w:rPr>
              <w:t>住房和城乡建设局</w:t>
            </w:r>
          </w:p>
        </w:tc>
        <w:tc>
          <w:tcPr>
            <w:tcW w:w="1684"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tc>
        <w:tc>
          <w:tcPr>
            <w:tcW w:w="574"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75" w:type="dxa"/>
            <w:shd w:val="clear" w:color="auto" w:fill="auto"/>
            <w:vAlign w:val="center"/>
          </w:tcPr>
          <w:p>
            <w:pPr>
              <w:spacing w:line="240" w:lineRule="exact"/>
              <w:jc w:val="center"/>
              <w:rPr>
                <w:rFonts w:ascii="仿宋_GB2312" w:hAnsi="宋体" w:eastAsia="仿宋_GB2312"/>
                <w:color w:val="000000"/>
                <w:sz w:val="18"/>
                <w:szCs w:val="18"/>
              </w:rPr>
            </w:pPr>
          </w:p>
        </w:tc>
        <w:tc>
          <w:tcPr>
            <w:tcW w:w="574"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8" w:type="dxa"/>
            <w:shd w:val="clear" w:color="auto" w:fill="auto"/>
            <w:vAlign w:val="center"/>
          </w:tcPr>
          <w:p>
            <w:pPr>
              <w:spacing w:line="240" w:lineRule="exact"/>
              <w:jc w:val="center"/>
              <w:rPr>
                <w:rFonts w:ascii="仿宋_GB2312" w:hAnsi="宋体" w:eastAsia="仿宋_GB2312"/>
                <w:color w:val="000000"/>
                <w:sz w:val="18"/>
                <w:szCs w:val="18"/>
              </w:rPr>
            </w:pPr>
          </w:p>
        </w:tc>
        <w:tc>
          <w:tcPr>
            <w:tcW w:w="574"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22" w:type="dxa"/>
            <w:shd w:val="clear" w:color="auto" w:fill="auto"/>
            <w:vAlign w:val="center"/>
          </w:tcPr>
          <w:p>
            <w:pPr>
              <w:spacing w:line="240" w:lineRule="exact"/>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900" w:hRule="atLeast"/>
          <w:jc w:val="center"/>
        </w:trPr>
        <w:tc>
          <w:tcPr>
            <w:tcW w:w="565" w:type="dxa"/>
            <w:vAlign w:val="center"/>
          </w:tcPr>
          <w:p>
            <w:pPr>
              <w:widowControl/>
              <w:spacing w:line="240" w:lineRule="exact"/>
              <w:jc w:val="center"/>
              <w:rPr>
                <w:rFonts w:ascii="Times New Roman" w:hAnsi="Times New Roman"/>
                <w:color w:val="000000"/>
                <w:kern w:val="0"/>
                <w:sz w:val="16"/>
                <w:szCs w:val="16"/>
              </w:rPr>
            </w:pPr>
            <w:r>
              <w:rPr>
                <w:rFonts w:hint="eastAsia" w:ascii="Times New Roman" w:hAnsi="Times New Roman"/>
                <w:color w:val="000000"/>
                <w:kern w:val="0"/>
                <w:sz w:val="16"/>
                <w:szCs w:val="16"/>
              </w:rPr>
              <w:t>14</w:t>
            </w:r>
          </w:p>
        </w:tc>
        <w:tc>
          <w:tcPr>
            <w:tcW w:w="261" w:type="dxa"/>
            <w:vMerge w:val="continue"/>
            <w:vAlign w:val="center"/>
          </w:tcPr>
          <w:p>
            <w:pPr>
              <w:spacing w:line="240" w:lineRule="exact"/>
              <w:jc w:val="center"/>
              <w:rPr>
                <w:rFonts w:ascii="仿宋_GB2312" w:hAnsi="宋体" w:eastAsia="仿宋_GB2312"/>
                <w:color w:val="000000"/>
                <w:sz w:val="18"/>
                <w:szCs w:val="18"/>
              </w:rPr>
            </w:pPr>
          </w:p>
        </w:tc>
        <w:tc>
          <w:tcPr>
            <w:tcW w:w="545"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年度任务实施</w:t>
            </w:r>
          </w:p>
        </w:tc>
        <w:tc>
          <w:tcPr>
            <w:tcW w:w="892"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年度任务执行情况</w:t>
            </w:r>
          </w:p>
        </w:tc>
        <w:tc>
          <w:tcPr>
            <w:tcW w:w="2008"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年度工作完成情况等</w:t>
            </w:r>
          </w:p>
        </w:tc>
        <w:tc>
          <w:tcPr>
            <w:tcW w:w="3662" w:type="dxa"/>
            <w:vMerge w:val="continue"/>
            <w:vAlign w:val="center"/>
          </w:tcPr>
          <w:p>
            <w:pPr>
              <w:spacing w:line="240" w:lineRule="exact"/>
              <w:jc w:val="left"/>
              <w:rPr>
                <w:rFonts w:ascii="仿宋_GB2312" w:hAnsi="宋体" w:eastAsia="仿宋_GB2312"/>
                <w:color w:val="000000"/>
                <w:sz w:val="18"/>
                <w:szCs w:val="18"/>
              </w:rPr>
            </w:pPr>
          </w:p>
        </w:tc>
        <w:tc>
          <w:tcPr>
            <w:tcW w:w="1276"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信息形成之日起20个工作日内</w:t>
            </w:r>
          </w:p>
        </w:tc>
        <w:tc>
          <w:tcPr>
            <w:tcW w:w="1559" w:type="dxa"/>
            <w:vAlign w:val="center"/>
          </w:tcPr>
          <w:p>
            <w:pPr>
              <w:widowControl/>
              <w:spacing w:line="240" w:lineRule="exact"/>
              <w:rPr>
                <w:rFonts w:ascii="黑体" w:hAnsi="宋体" w:eastAsia="黑体" w:cs="宋体"/>
                <w:color w:val="000000"/>
                <w:kern w:val="0"/>
                <w:sz w:val="22"/>
              </w:rPr>
            </w:pPr>
            <w:r>
              <w:rPr>
                <w:rFonts w:hint="eastAsia" w:ascii="仿宋_GB2312" w:hAnsi="宋体" w:eastAsia="仿宋_GB2312"/>
                <w:color w:val="000000"/>
                <w:sz w:val="18"/>
                <w:szCs w:val="18"/>
              </w:rPr>
              <w:t>住房和城乡建设局</w:t>
            </w:r>
          </w:p>
        </w:tc>
        <w:tc>
          <w:tcPr>
            <w:tcW w:w="1684"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tc>
        <w:tc>
          <w:tcPr>
            <w:tcW w:w="574"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75" w:type="dxa"/>
            <w:shd w:val="clear" w:color="auto" w:fill="auto"/>
            <w:vAlign w:val="center"/>
          </w:tcPr>
          <w:p>
            <w:pPr>
              <w:spacing w:line="240" w:lineRule="exact"/>
              <w:jc w:val="center"/>
              <w:rPr>
                <w:rFonts w:ascii="仿宋_GB2312" w:hAnsi="宋体" w:eastAsia="仿宋_GB2312"/>
                <w:color w:val="000000"/>
                <w:sz w:val="18"/>
                <w:szCs w:val="18"/>
              </w:rPr>
            </w:pPr>
          </w:p>
        </w:tc>
        <w:tc>
          <w:tcPr>
            <w:tcW w:w="574"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8" w:type="dxa"/>
            <w:shd w:val="clear" w:color="auto" w:fill="auto"/>
            <w:vAlign w:val="center"/>
          </w:tcPr>
          <w:p>
            <w:pPr>
              <w:spacing w:line="240" w:lineRule="exact"/>
              <w:jc w:val="center"/>
              <w:rPr>
                <w:rFonts w:ascii="仿宋_GB2312" w:hAnsi="宋体" w:eastAsia="仿宋_GB2312"/>
                <w:color w:val="000000"/>
                <w:sz w:val="18"/>
                <w:szCs w:val="18"/>
              </w:rPr>
            </w:pPr>
          </w:p>
        </w:tc>
        <w:tc>
          <w:tcPr>
            <w:tcW w:w="574"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22" w:type="dxa"/>
            <w:shd w:val="clear" w:color="auto" w:fill="auto"/>
            <w:vAlign w:val="center"/>
          </w:tcPr>
          <w:p>
            <w:pPr>
              <w:spacing w:line="240" w:lineRule="exact"/>
              <w:jc w:val="center"/>
              <w:rPr>
                <w:rFonts w:ascii="仿宋_GB2312" w:hAnsi="宋体"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65" w:type="dxa"/>
            <w:vAlign w:val="center"/>
          </w:tcPr>
          <w:p>
            <w:pPr>
              <w:widowControl/>
              <w:spacing w:line="240" w:lineRule="exact"/>
              <w:jc w:val="center"/>
              <w:rPr>
                <w:rFonts w:ascii="Times New Roman" w:hAnsi="Times New Roman"/>
                <w:color w:val="000000"/>
                <w:kern w:val="0"/>
                <w:sz w:val="16"/>
                <w:szCs w:val="16"/>
              </w:rPr>
            </w:pPr>
            <w:r>
              <w:rPr>
                <w:rFonts w:hint="eastAsia" w:ascii="Times New Roman" w:hAnsi="Times New Roman"/>
                <w:color w:val="000000"/>
                <w:kern w:val="0"/>
                <w:sz w:val="16"/>
                <w:szCs w:val="16"/>
              </w:rPr>
              <w:t>15</w:t>
            </w:r>
          </w:p>
        </w:tc>
        <w:tc>
          <w:tcPr>
            <w:tcW w:w="261" w:type="dxa"/>
            <w:vMerge w:val="restart"/>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回应关切</w:t>
            </w:r>
          </w:p>
        </w:tc>
        <w:tc>
          <w:tcPr>
            <w:tcW w:w="545" w:type="dxa"/>
            <w:vMerge w:val="restart"/>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舆情收集、热点及关键问题回应</w:t>
            </w:r>
          </w:p>
        </w:tc>
        <w:tc>
          <w:tcPr>
            <w:tcW w:w="892" w:type="dxa"/>
            <w:shd w:val="clear" w:color="auto" w:fill="auto"/>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舆情收集回应</w:t>
            </w:r>
          </w:p>
        </w:tc>
        <w:tc>
          <w:tcPr>
            <w:tcW w:w="2008"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接受投诉、咨询、建议等联系电话、通信地址等</w:t>
            </w:r>
          </w:p>
        </w:tc>
        <w:tc>
          <w:tcPr>
            <w:tcW w:w="3662" w:type="dxa"/>
            <w:vMerge w:val="restart"/>
            <w:vAlign w:val="center"/>
          </w:tcPr>
          <w:p>
            <w:pPr>
              <w:spacing w:line="240" w:lineRule="exact"/>
              <w:jc w:val="left"/>
              <w:rPr>
                <w:rFonts w:ascii="仿宋_GB2312" w:hAnsi="宋体" w:eastAsia="仿宋_GB2312"/>
                <w:color w:val="000000"/>
                <w:sz w:val="18"/>
                <w:szCs w:val="18"/>
              </w:rPr>
            </w:pPr>
            <w:r>
              <w:rPr>
                <w:rFonts w:hint="eastAsia" w:ascii="仿宋_GB2312" w:hAnsi="宋体" w:eastAsia="仿宋_GB2312"/>
                <w:color w:val="000000"/>
                <w:sz w:val="18"/>
                <w:szCs w:val="18"/>
              </w:rPr>
              <w:t>《政府信息公开条例》、《关于全面推进政务公开工作的意见》及其实施细则</w:t>
            </w:r>
          </w:p>
        </w:tc>
        <w:tc>
          <w:tcPr>
            <w:tcW w:w="1276" w:type="dxa"/>
            <w:vAlign w:val="center"/>
          </w:tcPr>
          <w:p>
            <w:pPr>
              <w:spacing w:line="240" w:lineRule="exact"/>
              <w:ind w:right="-304" w:rightChars="-145"/>
              <w:rPr>
                <w:rFonts w:ascii="仿宋_GB2312" w:hAnsi="宋体" w:eastAsia="仿宋_GB2312"/>
                <w:color w:val="000000"/>
                <w:sz w:val="18"/>
                <w:szCs w:val="18"/>
              </w:rPr>
            </w:pPr>
            <w:r>
              <w:rPr>
                <w:rFonts w:hint="eastAsia" w:ascii="仿宋_GB2312" w:hAnsi="宋体" w:eastAsia="仿宋_GB2312"/>
                <w:color w:val="000000"/>
                <w:sz w:val="18"/>
                <w:szCs w:val="18"/>
              </w:rPr>
              <w:t>信息形成之日</w:t>
            </w:r>
          </w:p>
          <w:p>
            <w:pPr>
              <w:spacing w:line="240" w:lineRule="exact"/>
              <w:ind w:right="-304" w:rightChars="-145"/>
              <w:rPr>
                <w:rFonts w:ascii="仿宋_GB2312" w:hAnsi="宋体" w:eastAsia="仿宋_GB2312"/>
                <w:color w:val="000000"/>
                <w:sz w:val="18"/>
                <w:szCs w:val="18"/>
              </w:rPr>
            </w:pPr>
            <w:r>
              <w:rPr>
                <w:rFonts w:hint="eastAsia" w:ascii="仿宋_GB2312" w:hAnsi="宋体" w:eastAsia="仿宋_GB2312"/>
                <w:color w:val="000000"/>
                <w:sz w:val="18"/>
                <w:szCs w:val="18"/>
              </w:rPr>
              <w:t>起20个工作日</w:t>
            </w:r>
          </w:p>
          <w:p>
            <w:pPr>
              <w:spacing w:line="240" w:lineRule="exact"/>
              <w:ind w:right="-304" w:rightChars="-145"/>
              <w:rPr>
                <w:rFonts w:ascii="仿宋_GB2312" w:hAnsi="宋体" w:eastAsia="仿宋_GB2312"/>
                <w:color w:val="000000"/>
                <w:sz w:val="18"/>
                <w:szCs w:val="18"/>
              </w:rPr>
            </w:pPr>
            <w:r>
              <w:rPr>
                <w:rFonts w:hint="eastAsia" w:ascii="仿宋_GB2312" w:hAnsi="宋体" w:eastAsia="仿宋_GB2312"/>
                <w:color w:val="000000"/>
                <w:sz w:val="18"/>
                <w:szCs w:val="18"/>
              </w:rPr>
              <w:t>内</w:t>
            </w:r>
          </w:p>
        </w:tc>
        <w:tc>
          <w:tcPr>
            <w:tcW w:w="1559" w:type="dxa"/>
            <w:vAlign w:val="center"/>
          </w:tcPr>
          <w:p>
            <w:pPr>
              <w:widowControl/>
              <w:spacing w:line="240" w:lineRule="exact"/>
              <w:rPr>
                <w:rFonts w:ascii="黑体" w:hAnsi="宋体" w:eastAsia="黑体" w:cs="宋体"/>
                <w:color w:val="000000"/>
                <w:kern w:val="0"/>
                <w:sz w:val="22"/>
              </w:rPr>
            </w:pPr>
            <w:r>
              <w:rPr>
                <w:rFonts w:hint="eastAsia" w:ascii="仿宋_GB2312" w:hAnsi="宋体" w:eastAsia="仿宋_GB2312"/>
                <w:color w:val="000000"/>
                <w:sz w:val="18"/>
                <w:szCs w:val="18"/>
              </w:rPr>
              <w:t>住房和城乡建设局</w:t>
            </w:r>
          </w:p>
        </w:tc>
        <w:tc>
          <w:tcPr>
            <w:tcW w:w="1684" w:type="dxa"/>
            <w:vAlign w:val="center"/>
          </w:tcPr>
          <w:p>
            <w:pPr>
              <w:widowControl/>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spacing w:line="240" w:lineRule="exact"/>
              <w:rPr>
                <w:rFonts w:hint="eastAsia" w:ascii="仿宋_GB2312" w:hAnsi="宋体" w:eastAsia="仿宋_GB2312"/>
                <w:color w:val="000000"/>
                <w:sz w:val="18"/>
                <w:szCs w:val="18"/>
              </w:rPr>
            </w:pPr>
            <w:r>
              <w:rPr>
                <w:rFonts w:hint="eastAsia" w:ascii="仿宋_GB2312" w:hAnsi="宋体" w:eastAsia="仿宋_GB2312"/>
                <w:color w:val="000000"/>
                <w:sz w:val="18"/>
                <w:szCs w:val="18"/>
              </w:rPr>
              <w:t>■乡镇公示栏</w:t>
            </w:r>
          </w:p>
        </w:tc>
        <w:tc>
          <w:tcPr>
            <w:tcW w:w="574"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75" w:type="dxa"/>
            <w:shd w:val="clear" w:color="auto" w:fill="auto"/>
            <w:vAlign w:val="center"/>
          </w:tcPr>
          <w:p>
            <w:pPr>
              <w:spacing w:line="240" w:lineRule="exact"/>
              <w:jc w:val="center"/>
              <w:rPr>
                <w:rFonts w:ascii="仿宋_GB2312" w:hAnsi="宋体" w:eastAsia="仿宋_GB2312"/>
                <w:color w:val="000000"/>
                <w:sz w:val="18"/>
                <w:szCs w:val="18"/>
              </w:rPr>
            </w:pPr>
          </w:p>
        </w:tc>
        <w:tc>
          <w:tcPr>
            <w:tcW w:w="574"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8" w:type="dxa"/>
            <w:shd w:val="clear" w:color="auto" w:fill="auto"/>
            <w:vAlign w:val="center"/>
          </w:tcPr>
          <w:p>
            <w:pPr>
              <w:spacing w:line="240" w:lineRule="exact"/>
              <w:jc w:val="center"/>
              <w:rPr>
                <w:rFonts w:ascii="仿宋_GB2312" w:hAnsi="宋体" w:eastAsia="仿宋_GB2312"/>
                <w:color w:val="000000"/>
                <w:sz w:val="18"/>
                <w:szCs w:val="18"/>
              </w:rPr>
            </w:pPr>
          </w:p>
        </w:tc>
        <w:tc>
          <w:tcPr>
            <w:tcW w:w="574"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22"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20" w:hRule="atLeast"/>
          <w:jc w:val="center"/>
        </w:trPr>
        <w:tc>
          <w:tcPr>
            <w:tcW w:w="565" w:type="dxa"/>
            <w:vAlign w:val="center"/>
          </w:tcPr>
          <w:p>
            <w:pPr>
              <w:widowControl/>
              <w:spacing w:line="240" w:lineRule="exact"/>
              <w:jc w:val="center"/>
              <w:rPr>
                <w:rFonts w:ascii="Times New Roman" w:hAnsi="Times New Roman"/>
                <w:color w:val="000000"/>
                <w:kern w:val="0"/>
                <w:sz w:val="16"/>
                <w:szCs w:val="16"/>
              </w:rPr>
            </w:pPr>
            <w:r>
              <w:rPr>
                <w:rFonts w:hint="eastAsia" w:ascii="Times New Roman" w:hAnsi="Times New Roman"/>
                <w:color w:val="000000"/>
                <w:kern w:val="0"/>
                <w:sz w:val="16"/>
                <w:szCs w:val="16"/>
              </w:rPr>
              <w:t>16</w:t>
            </w:r>
          </w:p>
        </w:tc>
        <w:tc>
          <w:tcPr>
            <w:tcW w:w="261" w:type="dxa"/>
            <w:vMerge w:val="continue"/>
            <w:vAlign w:val="center"/>
          </w:tcPr>
          <w:p>
            <w:pPr>
              <w:spacing w:line="240" w:lineRule="exact"/>
              <w:jc w:val="center"/>
              <w:rPr>
                <w:rFonts w:ascii="仿宋_GB2312" w:hAnsi="宋体" w:eastAsia="仿宋_GB2312"/>
                <w:color w:val="000000"/>
                <w:sz w:val="18"/>
                <w:szCs w:val="18"/>
              </w:rPr>
            </w:pPr>
          </w:p>
        </w:tc>
        <w:tc>
          <w:tcPr>
            <w:tcW w:w="545" w:type="dxa"/>
            <w:vMerge w:val="continue"/>
            <w:shd w:val="clear" w:color="auto" w:fill="auto"/>
            <w:vAlign w:val="center"/>
          </w:tcPr>
          <w:p>
            <w:pPr>
              <w:spacing w:line="240" w:lineRule="exact"/>
              <w:jc w:val="center"/>
              <w:rPr>
                <w:rFonts w:ascii="仿宋_GB2312" w:hAnsi="宋体" w:eastAsia="仿宋_GB2312"/>
                <w:color w:val="000000"/>
                <w:sz w:val="18"/>
                <w:szCs w:val="18"/>
              </w:rPr>
            </w:pPr>
          </w:p>
        </w:tc>
        <w:tc>
          <w:tcPr>
            <w:tcW w:w="892"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互动回应</w:t>
            </w:r>
          </w:p>
        </w:tc>
        <w:tc>
          <w:tcPr>
            <w:tcW w:w="2008"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涉及群众切身利益和舆论关注的焦点、热点及关键问题等回应内容</w:t>
            </w:r>
          </w:p>
        </w:tc>
        <w:tc>
          <w:tcPr>
            <w:tcW w:w="3662" w:type="dxa"/>
            <w:vMerge w:val="continue"/>
            <w:vAlign w:val="center"/>
          </w:tcPr>
          <w:p>
            <w:pPr>
              <w:spacing w:line="240" w:lineRule="exact"/>
              <w:rPr>
                <w:rFonts w:ascii="仿宋_GB2312" w:hAnsi="宋体" w:eastAsia="仿宋_GB2312"/>
                <w:color w:val="000000"/>
                <w:sz w:val="18"/>
                <w:szCs w:val="18"/>
              </w:rPr>
            </w:pPr>
          </w:p>
        </w:tc>
        <w:tc>
          <w:tcPr>
            <w:tcW w:w="1276"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及时发布信息；对涉及重大舆情的，要快速反应，并根据工作进展情况，持续发布信息。</w:t>
            </w:r>
          </w:p>
        </w:tc>
        <w:tc>
          <w:tcPr>
            <w:tcW w:w="1559" w:type="dxa"/>
            <w:vAlign w:val="center"/>
          </w:tcPr>
          <w:p>
            <w:pPr>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区政府、住房和城乡建设局</w:t>
            </w:r>
          </w:p>
        </w:tc>
        <w:tc>
          <w:tcPr>
            <w:tcW w:w="1684" w:type="dxa"/>
            <w:vAlign w:val="center"/>
          </w:tcPr>
          <w:p>
            <w:pPr>
              <w:widowControl/>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■政府网站</w:t>
            </w:r>
          </w:p>
          <w:p>
            <w:pPr>
              <w:widowControl/>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 xml:space="preserve">■发布会 </w:t>
            </w:r>
          </w:p>
          <w:p>
            <w:pPr>
              <w:widowControl/>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■乡镇公示栏</w:t>
            </w:r>
          </w:p>
          <w:p>
            <w:pPr>
              <w:widowControl/>
              <w:spacing w:line="240" w:lineRule="exact"/>
              <w:rPr>
                <w:rFonts w:ascii="仿宋_GB2312" w:hAnsi="宋体" w:eastAsia="仿宋_GB2312"/>
                <w:color w:val="000000"/>
                <w:sz w:val="18"/>
                <w:szCs w:val="18"/>
              </w:rPr>
            </w:pPr>
            <w:r>
              <w:rPr>
                <w:rFonts w:hint="eastAsia" w:ascii="仿宋_GB2312" w:hAnsi="宋体" w:eastAsia="仿宋_GB2312"/>
                <w:color w:val="000000"/>
                <w:sz w:val="18"/>
                <w:szCs w:val="18"/>
              </w:rPr>
              <w:t>■村公示栏</w:t>
            </w:r>
          </w:p>
        </w:tc>
        <w:tc>
          <w:tcPr>
            <w:tcW w:w="574"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75" w:type="dxa"/>
            <w:shd w:val="clear" w:color="auto" w:fill="auto"/>
            <w:vAlign w:val="center"/>
          </w:tcPr>
          <w:p>
            <w:pPr>
              <w:spacing w:line="240" w:lineRule="exact"/>
              <w:jc w:val="center"/>
              <w:rPr>
                <w:rFonts w:ascii="仿宋_GB2312" w:hAnsi="宋体" w:eastAsia="仿宋_GB2312"/>
                <w:color w:val="000000"/>
                <w:sz w:val="18"/>
                <w:szCs w:val="18"/>
              </w:rPr>
            </w:pPr>
          </w:p>
        </w:tc>
        <w:tc>
          <w:tcPr>
            <w:tcW w:w="574"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718" w:type="dxa"/>
            <w:shd w:val="clear" w:color="auto" w:fill="auto"/>
            <w:vAlign w:val="center"/>
          </w:tcPr>
          <w:p>
            <w:pPr>
              <w:spacing w:line="240" w:lineRule="exact"/>
              <w:jc w:val="center"/>
              <w:rPr>
                <w:rFonts w:ascii="仿宋_GB2312" w:hAnsi="宋体" w:eastAsia="仿宋_GB2312"/>
                <w:color w:val="000000"/>
                <w:sz w:val="18"/>
                <w:szCs w:val="18"/>
              </w:rPr>
            </w:pPr>
          </w:p>
        </w:tc>
        <w:tc>
          <w:tcPr>
            <w:tcW w:w="574"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c>
          <w:tcPr>
            <w:tcW w:w="522" w:type="dxa"/>
            <w:shd w:val="clear" w:color="auto" w:fill="auto"/>
            <w:vAlign w:val="center"/>
          </w:tcPr>
          <w:p>
            <w:pPr>
              <w:spacing w:line="240" w:lineRule="exact"/>
              <w:jc w:val="center"/>
              <w:rPr>
                <w:rFonts w:ascii="仿宋_GB2312" w:hAnsi="宋体" w:eastAsia="仿宋_GB2312"/>
                <w:color w:val="000000"/>
                <w:sz w:val="18"/>
                <w:szCs w:val="18"/>
              </w:rPr>
            </w:pPr>
            <w:r>
              <w:rPr>
                <w:rFonts w:hint="eastAsia" w:ascii="仿宋_GB2312" w:hAnsi="宋体" w:eastAsia="仿宋_GB2312"/>
                <w:color w:val="000000"/>
                <w:sz w:val="18"/>
                <w:szCs w:val="18"/>
              </w:rPr>
              <w:t>√</w:t>
            </w:r>
          </w:p>
        </w:tc>
      </w:tr>
    </w:tbl>
    <w:p>
      <w:pPr>
        <w:jc w:val="center"/>
        <w:rPr>
          <w:rFonts w:ascii="仿宋_GB2312" w:hAnsi="Times New Roman" w:eastAsia="仿宋_GB2312"/>
          <w:sz w:val="18"/>
          <w:szCs w:val="18"/>
        </w:rPr>
      </w:pPr>
    </w:p>
    <w:p>
      <w:pPr>
        <w:spacing w:line="600" w:lineRule="exact"/>
      </w:pPr>
      <w:r>
        <w:rPr>
          <w:rFonts w:ascii="仿宋_GB2312" w:eastAsia="仿宋_GB2312"/>
          <w:sz w:val="18"/>
          <w:szCs w:val="18"/>
        </w:rPr>
        <w:br w:type="page"/>
      </w:r>
    </w:p>
    <w:sectPr>
      <w:footerReference r:id="rId3" w:type="default"/>
      <w:pgSz w:w="16838" w:h="11906" w:orient="landscape"/>
      <w:pgMar w:top="567" w:right="567" w:bottom="567" w:left="567"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4"/>
        <w:szCs w:val="24"/>
      </w:rPr>
      <w:id w:val="1538931343"/>
      <w:docPartObj>
        <w:docPartGallery w:val="autotext"/>
      </w:docPartObj>
    </w:sdtPr>
    <w:sdtEndPr>
      <w:rPr>
        <w:sz w:val="24"/>
        <w:szCs w:val="24"/>
      </w:rPr>
    </w:sdtEndPr>
    <w:sdtContent>
      <w:p>
        <w:pPr>
          <w:pStyle w:val="3"/>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2</w:t>
        </w:r>
        <w:r>
          <w:rPr>
            <w:sz w:val="24"/>
            <w:szCs w:val="24"/>
          </w:rPr>
          <w:fldChar w:fldCharType="end"/>
        </w:r>
      </w:p>
    </w:sdtContent>
  </w:sdt>
  <w:p>
    <w:pPr>
      <w:pStyle w:val="3"/>
      <w:rPr>
        <w:sz w:val="24"/>
        <w:szCs w:val="24"/>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B82"/>
    <w:rsid w:val="00061385"/>
    <w:rsid w:val="00081C9F"/>
    <w:rsid w:val="001449FF"/>
    <w:rsid w:val="00236B91"/>
    <w:rsid w:val="002A14A6"/>
    <w:rsid w:val="002E7290"/>
    <w:rsid w:val="003A13B4"/>
    <w:rsid w:val="003B26FE"/>
    <w:rsid w:val="00526EB4"/>
    <w:rsid w:val="00543BC2"/>
    <w:rsid w:val="00561A99"/>
    <w:rsid w:val="007A6767"/>
    <w:rsid w:val="007B4B82"/>
    <w:rsid w:val="00A91683"/>
    <w:rsid w:val="00ED0DC8"/>
    <w:rsid w:val="688D6C83"/>
    <w:rsid w:val="6B9F4EF4"/>
    <w:rsid w:val="6F4D04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_GB2312" w:hAnsi="宋体" w:eastAsia="仿宋_GB2312"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9"/>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8"/>
    <w:unhideWhenUsed/>
    <w:qFormat/>
    <w:uiPriority w:val="99"/>
    <w:pPr>
      <w:tabs>
        <w:tab w:val="center" w:pos="4153"/>
        <w:tab w:val="right" w:pos="8306"/>
      </w:tabs>
      <w:snapToGrid w:val="0"/>
      <w:jc w:val="left"/>
    </w:pPr>
    <w:rPr>
      <w:rFonts w:ascii="仿宋_GB2312" w:hAnsi="宋体" w:eastAsia="仿宋_GB2312" w:cstheme="minorBidi"/>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rFonts w:ascii="仿宋_GB2312" w:hAnsi="宋体" w:eastAsia="仿宋_GB2312" w:cstheme="minorBidi"/>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标题 1 字符"/>
    <w:basedOn w:val="6"/>
    <w:link w:val="2"/>
    <w:uiPriority w:val="0"/>
    <w:rPr>
      <w:rFonts w:ascii="Calibri" w:hAnsi="Calibri" w:eastAsia="宋体" w:cs="Times New Roman"/>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391</Words>
  <Characters>2229</Characters>
  <Lines>18</Lines>
  <Paragraphs>5</Paragraphs>
  <TotalTime>7</TotalTime>
  <ScaleCrop>false</ScaleCrop>
  <LinksUpToDate>false</LinksUpToDate>
  <CharactersWithSpaces>2615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2020-10-28T07:57:00Z</dcterms:created>
  <dc:creator>张明磊</dc:creator>
  <cp:lastModifiedBy>Administrator</cp:lastModifiedBy>
  <dcterms:modified xsi:type="dcterms:W3CDTF">2020-12-18T01:13:03Z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